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565"/>
        <w:gridCol w:w="1937"/>
        <w:gridCol w:w="1596"/>
        <w:gridCol w:w="1134"/>
        <w:gridCol w:w="3828"/>
      </w:tblGrid>
      <w:tr w:rsidR="00984D2C" w:rsidRPr="00C9686D" w:rsidTr="0089273F">
        <w:trPr>
          <w:trHeight w:val="791"/>
        </w:trPr>
        <w:tc>
          <w:tcPr>
            <w:tcW w:w="3502" w:type="dxa"/>
            <w:gridSpan w:val="2"/>
            <w:vAlign w:val="center"/>
          </w:tcPr>
          <w:p w:rsidR="00984D2C" w:rsidRPr="00C9686D" w:rsidRDefault="0089273F" w:rsidP="002C2B9C">
            <w:pPr>
              <w:jc w:val="center"/>
              <w:rPr>
                <w:rFonts w:ascii="Times New Roman" w:hAnsi="Times New Roman"/>
              </w:rPr>
            </w:pPr>
            <w:r w:rsidRPr="00C9686D">
              <w:rPr>
                <w:rFonts w:ascii="Times New Roman" w:hAnsi="Times New Roman"/>
                <w:noProof/>
                <w:lang w:val="es-CO" w:eastAsia="es-CO"/>
              </w:rPr>
              <w:drawing>
                <wp:inline distT="0" distB="0" distL="0" distR="0" wp14:anchorId="2B8254D8" wp14:editId="3A767F2E">
                  <wp:extent cx="1492249" cy="433917"/>
                  <wp:effectExtent l="0" t="0" r="0" b="4445"/>
                  <wp:docPr id="3" name="Imagen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pic:cNvPr>
                          <pic:cNvPicPr/>
                        </pic:nvPicPr>
                        <pic:blipFill>
                          <a:blip r:embed="rId12"/>
                          <a:stretch>
                            <a:fillRect/>
                          </a:stretch>
                        </pic:blipFill>
                        <pic:spPr>
                          <a:xfrm>
                            <a:off x="0" y="0"/>
                            <a:ext cx="1492249" cy="433917"/>
                          </a:xfrm>
                          <a:prstGeom prst="rect">
                            <a:avLst/>
                          </a:prstGeom>
                        </pic:spPr>
                      </pic:pic>
                    </a:graphicData>
                  </a:graphic>
                </wp:inline>
              </w:drawing>
            </w:r>
          </w:p>
        </w:tc>
        <w:tc>
          <w:tcPr>
            <w:tcW w:w="6558" w:type="dxa"/>
            <w:gridSpan w:val="3"/>
            <w:shd w:val="clear" w:color="auto" w:fill="A6A6A6" w:themeFill="background1" w:themeFillShade="A6"/>
            <w:vAlign w:val="center"/>
          </w:tcPr>
          <w:p w:rsidR="00984D2C" w:rsidRPr="00C9686D" w:rsidRDefault="00984D2C" w:rsidP="002C2B9C">
            <w:pPr>
              <w:jc w:val="center"/>
              <w:rPr>
                <w:rFonts w:ascii="Times New Roman" w:hAnsi="Times New Roman"/>
                <w:b/>
                <w:bCs/>
                <w:lang w:val="es-CO"/>
              </w:rPr>
            </w:pPr>
            <w:r w:rsidRPr="00C9686D">
              <w:rPr>
                <w:rFonts w:ascii="Times New Roman" w:hAnsi="Times New Roman"/>
                <w:b/>
                <w:bCs/>
                <w:lang w:val="es-CO"/>
              </w:rPr>
              <w:t>FICHA DE INVENTARIO DE BIENES CULTURALES INMUEBLE</w:t>
            </w:r>
          </w:p>
          <w:p w:rsidR="00984D2C" w:rsidRPr="00C9686D" w:rsidRDefault="00984D2C" w:rsidP="002C2B9C">
            <w:pPr>
              <w:jc w:val="center"/>
              <w:rPr>
                <w:rFonts w:ascii="Times New Roman" w:hAnsi="Times New Roman"/>
              </w:rPr>
            </w:pPr>
            <w:r w:rsidRPr="00C9686D">
              <w:rPr>
                <w:rFonts w:ascii="Times New Roman" w:hAnsi="Times New Roman"/>
                <w:lang w:val="es-CO"/>
              </w:rPr>
              <w:t>RESEÑA HISTÓRICA Y DESCRIPCIÓN FÍSICA</w:t>
            </w:r>
          </w:p>
        </w:tc>
      </w:tr>
      <w:tr w:rsidR="00401DA3" w:rsidRPr="00C9686D" w:rsidTr="009B1279">
        <w:tblPrEx>
          <w:tblCellMar>
            <w:left w:w="108" w:type="dxa"/>
            <w:right w:w="108" w:type="dxa"/>
          </w:tblCellMar>
        </w:tblPrEx>
        <w:trPr>
          <w:trHeight w:val="313"/>
        </w:trPr>
        <w:tc>
          <w:tcPr>
            <w:tcW w:w="1565" w:type="dxa"/>
            <w:shd w:val="clear" w:color="auto" w:fill="A6A6A6" w:themeFill="background1" w:themeFillShade="A6"/>
            <w:vAlign w:val="center"/>
          </w:tcPr>
          <w:p w:rsidR="00401DA3" w:rsidRPr="00C9686D" w:rsidRDefault="00401DA3" w:rsidP="002C2B9C">
            <w:pPr>
              <w:rPr>
                <w:rFonts w:ascii="Times New Roman" w:hAnsi="Times New Roman"/>
                <w:b/>
              </w:rPr>
            </w:pPr>
            <w:r w:rsidRPr="00C9686D">
              <w:rPr>
                <w:rFonts w:ascii="Times New Roman" w:hAnsi="Times New Roman"/>
                <w:b/>
              </w:rPr>
              <w:t>Código</w:t>
            </w:r>
          </w:p>
        </w:tc>
        <w:tc>
          <w:tcPr>
            <w:tcW w:w="8495" w:type="dxa"/>
            <w:gridSpan w:val="4"/>
            <w:shd w:val="clear" w:color="auto" w:fill="auto"/>
            <w:vAlign w:val="center"/>
          </w:tcPr>
          <w:p w:rsidR="00401DA3" w:rsidRPr="00C9686D" w:rsidRDefault="00DF61F4" w:rsidP="002C2B9C">
            <w:pPr>
              <w:rPr>
                <w:rFonts w:ascii="Times New Roman" w:hAnsi="Times New Roman"/>
              </w:rPr>
            </w:pPr>
            <w:r w:rsidRPr="00C9686D">
              <w:rPr>
                <w:rFonts w:ascii="Times New Roman" w:hAnsi="Times New Roman"/>
              </w:rPr>
              <w:t xml:space="preserve">02 </w:t>
            </w:r>
          </w:p>
        </w:tc>
      </w:tr>
      <w:tr w:rsidR="00401DA3" w:rsidRPr="00C9686D" w:rsidTr="006E4FC4">
        <w:tblPrEx>
          <w:tblCellMar>
            <w:left w:w="108" w:type="dxa"/>
            <w:right w:w="108" w:type="dxa"/>
          </w:tblCellMar>
        </w:tblPrEx>
        <w:trPr>
          <w:trHeight w:val="403"/>
        </w:trPr>
        <w:tc>
          <w:tcPr>
            <w:tcW w:w="1565" w:type="dxa"/>
            <w:shd w:val="clear" w:color="auto" w:fill="A6A6A6" w:themeFill="background1" w:themeFillShade="A6"/>
            <w:vAlign w:val="center"/>
          </w:tcPr>
          <w:p w:rsidR="00401DA3" w:rsidRPr="00C9686D" w:rsidRDefault="00401DA3" w:rsidP="002C2B9C">
            <w:pPr>
              <w:rPr>
                <w:rFonts w:ascii="Times New Roman" w:hAnsi="Times New Roman"/>
                <w:b/>
              </w:rPr>
            </w:pPr>
            <w:r w:rsidRPr="00C9686D">
              <w:rPr>
                <w:rFonts w:ascii="Times New Roman" w:hAnsi="Times New Roman"/>
                <w:b/>
              </w:rPr>
              <w:t>Departamento</w:t>
            </w:r>
          </w:p>
        </w:tc>
        <w:tc>
          <w:tcPr>
            <w:tcW w:w="3533" w:type="dxa"/>
            <w:gridSpan w:val="2"/>
            <w:shd w:val="clear" w:color="auto" w:fill="auto"/>
            <w:vAlign w:val="center"/>
          </w:tcPr>
          <w:p w:rsidR="00401DA3" w:rsidRPr="00C9686D" w:rsidRDefault="00A43E08" w:rsidP="002C2B9C">
            <w:pPr>
              <w:rPr>
                <w:rFonts w:ascii="Times New Roman" w:hAnsi="Times New Roman"/>
              </w:rPr>
            </w:pPr>
            <w:r w:rsidRPr="00C9686D">
              <w:rPr>
                <w:rFonts w:ascii="Times New Roman" w:hAnsi="Times New Roman"/>
              </w:rPr>
              <w:t xml:space="preserve">Santander </w:t>
            </w:r>
          </w:p>
        </w:tc>
        <w:tc>
          <w:tcPr>
            <w:tcW w:w="1134" w:type="dxa"/>
            <w:shd w:val="clear" w:color="auto" w:fill="A6A6A6" w:themeFill="background1" w:themeFillShade="A6"/>
            <w:vAlign w:val="center"/>
          </w:tcPr>
          <w:p w:rsidR="00401DA3" w:rsidRPr="00C9686D" w:rsidRDefault="00401DA3" w:rsidP="00C9686D">
            <w:pPr>
              <w:spacing w:line="276" w:lineRule="auto"/>
              <w:rPr>
                <w:rFonts w:ascii="Times New Roman" w:hAnsi="Times New Roman"/>
              </w:rPr>
            </w:pPr>
            <w:r w:rsidRPr="00C9686D">
              <w:rPr>
                <w:rFonts w:ascii="Times New Roman" w:hAnsi="Times New Roman"/>
              </w:rPr>
              <w:t>Municipio</w:t>
            </w:r>
          </w:p>
        </w:tc>
        <w:tc>
          <w:tcPr>
            <w:tcW w:w="3828" w:type="dxa"/>
            <w:vAlign w:val="center"/>
          </w:tcPr>
          <w:p w:rsidR="00401DA3" w:rsidRPr="00C9686D" w:rsidRDefault="00A43E08" w:rsidP="00C9686D">
            <w:pPr>
              <w:spacing w:line="276" w:lineRule="auto"/>
              <w:rPr>
                <w:rFonts w:ascii="Times New Roman" w:hAnsi="Times New Roman"/>
              </w:rPr>
            </w:pPr>
            <w:r w:rsidRPr="00C9686D">
              <w:rPr>
                <w:rFonts w:ascii="Times New Roman" w:hAnsi="Times New Roman"/>
              </w:rPr>
              <w:t>Bucaramanga</w:t>
            </w:r>
          </w:p>
        </w:tc>
      </w:tr>
      <w:tr w:rsidR="00401DA3" w:rsidRPr="00C9686D" w:rsidTr="0089273F">
        <w:tblPrEx>
          <w:tblCellMar>
            <w:left w:w="108" w:type="dxa"/>
            <w:right w:w="108" w:type="dxa"/>
          </w:tblCellMar>
        </w:tblPrEx>
        <w:tc>
          <w:tcPr>
            <w:tcW w:w="1565" w:type="dxa"/>
            <w:shd w:val="clear" w:color="auto" w:fill="A6A6A6" w:themeFill="background1" w:themeFillShade="A6"/>
            <w:vAlign w:val="center"/>
          </w:tcPr>
          <w:p w:rsidR="00401DA3" w:rsidRPr="00C9686D" w:rsidRDefault="00401DA3" w:rsidP="002C2B9C">
            <w:pPr>
              <w:rPr>
                <w:rFonts w:ascii="Times New Roman" w:hAnsi="Times New Roman"/>
                <w:b/>
              </w:rPr>
            </w:pPr>
            <w:r w:rsidRPr="00C9686D">
              <w:rPr>
                <w:rFonts w:ascii="Times New Roman" w:hAnsi="Times New Roman"/>
                <w:b/>
              </w:rPr>
              <w:t>Inmueble</w:t>
            </w:r>
          </w:p>
          <w:p w:rsidR="00401DA3" w:rsidRPr="00C9686D" w:rsidRDefault="00401DA3" w:rsidP="002C2B9C">
            <w:pPr>
              <w:rPr>
                <w:rFonts w:ascii="Times New Roman" w:hAnsi="Times New Roman"/>
                <w:b/>
              </w:rPr>
            </w:pPr>
          </w:p>
        </w:tc>
        <w:tc>
          <w:tcPr>
            <w:tcW w:w="8495" w:type="dxa"/>
            <w:gridSpan w:val="4"/>
            <w:vAlign w:val="center"/>
          </w:tcPr>
          <w:p w:rsidR="00401DA3" w:rsidRPr="00C9686D" w:rsidRDefault="00A43E08" w:rsidP="002C2B9C">
            <w:pPr>
              <w:rPr>
                <w:rFonts w:ascii="Times New Roman" w:hAnsi="Times New Roman"/>
              </w:rPr>
            </w:pPr>
            <w:r w:rsidRPr="00C9686D">
              <w:rPr>
                <w:rFonts w:ascii="Times New Roman" w:hAnsi="Times New Roman"/>
              </w:rPr>
              <w:t xml:space="preserve">Parque </w:t>
            </w:r>
            <w:r w:rsidR="0037644A" w:rsidRPr="00C9686D">
              <w:rPr>
                <w:rFonts w:ascii="Times New Roman" w:hAnsi="Times New Roman"/>
              </w:rPr>
              <w:t xml:space="preserve">Centenario </w:t>
            </w:r>
            <w:r w:rsidRPr="00C9686D">
              <w:rPr>
                <w:rFonts w:ascii="Times New Roman" w:hAnsi="Times New Roman"/>
              </w:rPr>
              <w:t xml:space="preserve"> </w:t>
            </w:r>
          </w:p>
        </w:tc>
      </w:tr>
      <w:tr w:rsidR="00984D2C" w:rsidRPr="00C9686D" w:rsidTr="0089273F">
        <w:tblPrEx>
          <w:tblCellMar>
            <w:left w:w="108" w:type="dxa"/>
            <w:right w:w="108" w:type="dxa"/>
          </w:tblCellMar>
        </w:tblPrEx>
        <w:tc>
          <w:tcPr>
            <w:tcW w:w="1565" w:type="dxa"/>
            <w:shd w:val="clear" w:color="auto" w:fill="BFBFBF" w:themeFill="background1" w:themeFillShade="BF"/>
            <w:vAlign w:val="center"/>
          </w:tcPr>
          <w:p w:rsidR="00984D2C" w:rsidRPr="00C9686D" w:rsidRDefault="00984D2C" w:rsidP="002C2B9C">
            <w:pPr>
              <w:rPr>
                <w:rFonts w:ascii="Times New Roman" w:hAnsi="Times New Roman"/>
              </w:rPr>
            </w:pPr>
            <w:r w:rsidRPr="00C9686D">
              <w:rPr>
                <w:rFonts w:ascii="Times New Roman" w:hAnsi="Times New Roman"/>
              </w:rPr>
              <w:t>Responsables</w:t>
            </w:r>
          </w:p>
        </w:tc>
        <w:tc>
          <w:tcPr>
            <w:tcW w:w="3533" w:type="dxa"/>
            <w:gridSpan w:val="2"/>
            <w:vAlign w:val="center"/>
          </w:tcPr>
          <w:p w:rsidR="00984D2C" w:rsidRPr="00C9686D" w:rsidRDefault="00984D2C" w:rsidP="002C2B9C">
            <w:pPr>
              <w:rPr>
                <w:rFonts w:ascii="Times New Roman" w:hAnsi="Times New Roman"/>
              </w:rPr>
            </w:pPr>
          </w:p>
          <w:p w:rsidR="00984D2C" w:rsidRPr="00C9686D" w:rsidRDefault="00A43E08" w:rsidP="002C2B9C">
            <w:pPr>
              <w:rPr>
                <w:rFonts w:ascii="Times New Roman" w:hAnsi="Times New Roman"/>
              </w:rPr>
            </w:pPr>
            <w:r w:rsidRPr="00C9686D">
              <w:rPr>
                <w:rFonts w:ascii="Times New Roman" w:hAnsi="Times New Roman"/>
              </w:rPr>
              <w:t xml:space="preserve">Alcaldía de Bucaramanga </w:t>
            </w:r>
          </w:p>
        </w:tc>
        <w:tc>
          <w:tcPr>
            <w:tcW w:w="1134" w:type="dxa"/>
            <w:shd w:val="clear" w:color="auto" w:fill="BFBFBF" w:themeFill="background1" w:themeFillShade="BF"/>
            <w:vAlign w:val="center"/>
          </w:tcPr>
          <w:p w:rsidR="00984D2C" w:rsidRPr="00C9686D" w:rsidRDefault="00984D2C" w:rsidP="00C9686D">
            <w:pPr>
              <w:spacing w:line="276" w:lineRule="auto"/>
              <w:rPr>
                <w:rFonts w:ascii="Times New Roman" w:hAnsi="Times New Roman"/>
              </w:rPr>
            </w:pPr>
            <w:r w:rsidRPr="00C9686D">
              <w:rPr>
                <w:rFonts w:ascii="Times New Roman" w:hAnsi="Times New Roman"/>
              </w:rPr>
              <w:t>Autores</w:t>
            </w:r>
          </w:p>
        </w:tc>
        <w:tc>
          <w:tcPr>
            <w:tcW w:w="3828" w:type="dxa"/>
            <w:vAlign w:val="center"/>
          </w:tcPr>
          <w:p w:rsidR="00984D2C" w:rsidRPr="00C9686D" w:rsidRDefault="00984D2C" w:rsidP="00C9686D">
            <w:pPr>
              <w:spacing w:line="276" w:lineRule="auto"/>
              <w:rPr>
                <w:rFonts w:ascii="Times New Roman" w:hAnsi="Times New Roman"/>
              </w:rPr>
            </w:pPr>
          </w:p>
        </w:tc>
      </w:tr>
      <w:tr w:rsidR="00984D2C" w:rsidRPr="00C9686D" w:rsidTr="0089273F">
        <w:tblPrEx>
          <w:tblCellMar>
            <w:left w:w="108" w:type="dxa"/>
            <w:right w:w="108" w:type="dxa"/>
          </w:tblCellMar>
        </w:tblPrEx>
        <w:tc>
          <w:tcPr>
            <w:tcW w:w="1565" w:type="dxa"/>
            <w:shd w:val="clear" w:color="auto" w:fill="BFBFBF" w:themeFill="background1" w:themeFillShade="BF"/>
            <w:vAlign w:val="center"/>
          </w:tcPr>
          <w:p w:rsidR="00984D2C" w:rsidRPr="00C9686D" w:rsidRDefault="00984D2C" w:rsidP="002C2B9C">
            <w:pPr>
              <w:rPr>
                <w:rFonts w:ascii="Times New Roman" w:hAnsi="Times New Roman"/>
              </w:rPr>
            </w:pPr>
            <w:r w:rsidRPr="00C9686D">
              <w:rPr>
                <w:rFonts w:ascii="Times New Roman" w:hAnsi="Times New Roman"/>
              </w:rPr>
              <w:t>Fecha</w:t>
            </w:r>
          </w:p>
        </w:tc>
        <w:tc>
          <w:tcPr>
            <w:tcW w:w="8495" w:type="dxa"/>
            <w:gridSpan w:val="4"/>
            <w:vAlign w:val="center"/>
          </w:tcPr>
          <w:p w:rsidR="00984D2C" w:rsidRPr="00C9686D" w:rsidRDefault="00A43E08" w:rsidP="002C2B9C">
            <w:pPr>
              <w:rPr>
                <w:rFonts w:ascii="Times New Roman" w:hAnsi="Times New Roman"/>
              </w:rPr>
            </w:pPr>
            <w:r w:rsidRPr="00C9686D">
              <w:rPr>
                <w:rFonts w:ascii="Times New Roman" w:hAnsi="Times New Roman"/>
              </w:rPr>
              <w:t xml:space="preserve">29 de marzo, 2021 </w:t>
            </w:r>
          </w:p>
        </w:tc>
      </w:tr>
    </w:tbl>
    <w:p w:rsidR="00863A08" w:rsidRPr="00C9686D" w:rsidRDefault="00863A08" w:rsidP="00C9686D">
      <w:pPr>
        <w:spacing w:line="276" w:lineRule="auto"/>
        <w:jc w:val="both"/>
        <w:rPr>
          <w:rFonts w:ascii="Times New Roman" w:hAnsi="Times New Roman"/>
        </w:rPr>
      </w:pPr>
    </w:p>
    <w:p w:rsidR="00984D2C" w:rsidRPr="00C9686D" w:rsidRDefault="00984D2C" w:rsidP="00C9686D">
      <w:pPr>
        <w:shd w:val="clear" w:color="auto" w:fill="BFBFBF" w:themeFill="background1" w:themeFillShade="BF"/>
        <w:spacing w:line="276" w:lineRule="auto"/>
        <w:ind w:right="-1"/>
        <w:jc w:val="both"/>
        <w:rPr>
          <w:rFonts w:ascii="Times New Roman" w:hAnsi="Times New Roman"/>
          <w:b/>
        </w:rPr>
      </w:pPr>
      <w:r w:rsidRPr="00C9686D">
        <w:rPr>
          <w:rFonts w:ascii="Times New Roman" w:hAnsi="Times New Roman"/>
          <w:b/>
        </w:rPr>
        <w:t>Reseña histórica</w:t>
      </w:r>
    </w:p>
    <w:p w:rsidR="00984D2C" w:rsidRPr="00C9686D" w:rsidRDefault="00984D2C" w:rsidP="00C9686D">
      <w:pPr>
        <w:spacing w:line="276" w:lineRule="auto"/>
        <w:ind w:right="-1"/>
        <w:jc w:val="both"/>
        <w:rPr>
          <w:rFonts w:ascii="Times New Roman" w:hAnsi="Times New Roman"/>
        </w:rPr>
      </w:pPr>
    </w:p>
    <w:p w:rsidR="0085049F" w:rsidRPr="00C9686D" w:rsidRDefault="006F381F" w:rsidP="00C9686D">
      <w:pPr>
        <w:spacing w:line="276" w:lineRule="auto"/>
        <w:jc w:val="both"/>
        <w:rPr>
          <w:rFonts w:ascii="Times New Roman" w:hAnsi="Times New Roman"/>
        </w:rPr>
      </w:pPr>
      <w:r w:rsidRPr="00C9686D">
        <w:rPr>
          <w:rFonts w:ascii="Times New Roman" w:hAnsi="Times New Roman"/>
        </w:rPr>
        <w:t>Al respecto, la consolidación y posterior desarrollo del ahora conocido como Parque Centenario se debe</w:t>
      </w:r>
      <w:r w:rsidR="005B356A" w:rsidRPr="00C9686D">
        <w:rPr>
          <w:rFonts w:ascii="Times New Roman" w:hAnsi="Times New Roman"/>
        </w:rPr>
        <w:t xml:space="preserve"> inicialmente a Reyes Gonzales, en cuyo espacio </w:t>
      </w:r>
      <w:r w:rsidR="000B28DE" w:rsidRPr="00C9686D">
        <w:rPr>
          <w:rFonts w:ascii="Times New Roman" w:hAnsi="Times New Roman"/>
        </w:rPr>
        <w:t xml:space="preserve">anteriormente </w:t>
      </w:r>
      <w:r w:rsidR="005B356A" w:rsidRPr="00C9686D">
        <w:rPr>
          <w:rFonts w:ascii="Times New Roman" w:hAnsi="Times New Roman"/>
        </w:rPr>
        <w:t>existía la antigua Plazuela Santa Rosa.</w:t>
      </w:r>
      <w:r w:rsidR="00EC365E" w:rsidRPr="00C9686D">
        <w:rPr>
          <w:rFonts w:ascii="Times New Roman" w:hAnsi="Times New Roman"/>
        </w:rPr>
        <w:t xml:space="preserve"> Por otro lado, si bien no existen datos precisos sobre la compra o venta del parque Centenario, es posible señalar que para el 18 de Julio de 1908, ‘’se autoriza al secretario de hacienda para tomar en compra pag</w:t>
      </w:r>
      <w:r w:rsidR="00063153" w:rsidRPr="00C9686D">
        <w:rPr>
          <w:rFonts w:ascii="Times New Roman" w:hAnsi="Times New Roman"/>
        </w:rPr>
        <w:t>adera del tesoro departamental (...), con el objeto de formar en ella el parque del Centenario de la Independencia’’</w:t>
      </w:r>
      <w:r w:rsidR="00063153" w:rsidRPr="00C9686D">
        <w:rPr>
          <w:rStyle w:val="Refdenotaalpie"/>
          <w:rFonts w:ascii="Times New Roman" w:hAnsi="Times New Roman"/>
        </w:rPr>
        <w:footnoteReference w:id="1"/>
      </w:r>
      <w:r w:rsidR="00834A54" w:rsidRPr="00C9686D">
        <w:rPr>
          <w:rFonts w:ascii="Times New Roman" w:hAnsi="Times New Roman"/>
        </w:rPr>
        <w:t xml:space="preserve">. Dos años después, para 1910, ‘’fue </w:t>
      </w:r>
      <w:r w:rsidR="00C6438E" w:rsidRPr="00C9686D">
        <w:rPr>
          <w:rFonts w:ascii="Times New Roman" w:hAnsi="Times New Roman"/>
        </w:rPr>
        <w:t>inaugurado</w:t>
      </w:r>
      <w:r w:rsidR="00834A54" w:rsidRPr="00C9686D">
        <w:rPr>
          <w:rFonts w:ascii="Times New Roman" w:hAnsi="Times New Roman"/>
        </w:rPr>
        <w:t xml:space="preserve"> el parque del Centenario, al cumplirse el 20 de julio 100 años de la Independencia Nacional</w:t>
      </w:r>
      <w:r w:rsidR="00C6438E" w:rsidRPr="00C9686D">
        <w:rPr>
          <w:rFonts w:ascii="Times New Roman" w:hAnsi="Times New Roman"/>
        </w:rPr>
        <w:t>’’</w:t>
      </w:r>
      <w:r w:rsidR="00C6438E" w:rsidRPr="00C9686D">
        <w:rPr>
          <w:rStyle w:val="Refdenotaalpie"/>
          <w:rFonts w:ascii="Times New Roman" w:hAnsi="Times New Roman"/>
        </w:rPr>
        <w:footnoteReference w:id="2"/>
      </w:r>
      <w:r w:rsidR="00C6438E" w:rsidRPr="00C9686D">
        <w:rPr>
          <w:rFonts w:ascii="Times New Roman" w:hAnsi="Times New Roman"/>
        </w:rPr>
        <w:t xml:space="preserve">. </w:t>
      </w:r>
      <w:r w:rsidR="00455D63" w:rsidRPr="00C9686D">
        <w:rPr>
          <w:rFonts w:ascii="Times New Roman" w:hAnsi="Times New Roman"/>
        </w:rPr>
        <w:t xml:space="preserve">Con el paso del tiempo, en este mismo parque, el cual había cambiado considerablemente desde que fue concebido como una plazuela, se dio paso a la idea de concebir en medio de éste una estatura de Aquileo Parra. </w:t>
      </w:r>
      <w:r w:rsidR="00E92500" w:rsidRPr="00C9686D">
        <w:rPr>
          <w:rFonts w:ascii="Times New Roman" w:hAnsi="Times New Roman"/>
        </w:rPr>
        <w:t>Por tanto, ‘’el Congreso de 1923 aprobó la Ley 49, destinando la suma de 6.000 pesos para la estatua del exmandatario’’</w:t>
      </w:r>
      <w:r w:rsidR="00E92500" w:rsidRPr="00C9686D">
        <w:rPr>
          <w:rStyle w:val="Refdenotaalpie"/>
          <w:rFonts w:ascii="Times New Roman" w:hAnsi="Times New Roman"/>
        </w:rPr>
        <w:footnoteReference w:id="3"/>
      </w:r>
      <w:r w:rsidR="00375098" w:rsidRPr="00C9686D">
        <w:rPr>
          <w:rFonts w:ascii="Times New Roman" w:hAnsi="Times New Roman"/>
        </w:rPr>
        <w:t xml:space="preserve">. La relevancia social y política que adquiere Aquileo Parra </w:t>
      </w:r>
      <w:r w:rsidR="00661E3A" w:rsidRPr="00C9686D">
        <w:rPr>
          <w:rFonts w:ascii="Times New Roman" w:hAnsi="Times New Roman"/>
        </w:rPr>
        <w:t xml:space="preserve">se interpreta en virtud de </w:t>
      </w:r>
      <w:r w:rsidR="00375098" w:rsidRPr="00C9686D">
        <w:rPr>
          <w:rFonts w:ascii="Times New Roman" w:hAnsi="Times New Roman"/>
        </w:rPr>
        <w:t xml:space="preserve"> convertirse en el primer presidente de la Republica durante el periodo 1876-1878, además de haber sido también gobernador del Estado Soberano de Santander. </w:t>
      </w:r>
      <w:r w:rsidR="00504264" w:rsidRPr="00C9686D">
        <w:rPr>
          <w:rFonts w:ascii="Times New Roman" w:hAnsi="Times New Roman"/>
        </w:rPr>
        <w:t xml:space="preserve">No obstante, tanto los trabajos adelantados para conseguir dicha estatua como el lugar definitivo de la misma no </w:t>
      </w:r>
      <w:r w:rsidR="00C96D0E" w:rsidRPr="00C9686D">
        <w:rPr>
          <w:rFonts w:ascii="Times New Roman" w:hAnsi="Times New Roman"/>
        </w:rPr>
        <w:t>estaban</w:t>
      </w:r>
      <w:r w:rsidR="00504264" w:rsidRPr="00C9686D">
        <w:rPr>
          <w:rFonts w:ascii="Times New Roman" w:hAnsi="Times New Roman"/>
        </w:rPr>
        <w:t xml:space="preserve"> muy claro</w:t>
      </w:r>
      <w:r w:rsidR="00C96D0E" w:rsidRPr="00C9686D">
        <w:rPr>
          <w:rFonts w:ascii="Times New Roman" w:hAnsi="Times New Roman"/>
        </w:rPr>
        <w:t>s</w:t>
      </w:r>
      <w:r w:rsidR="00504264" w:rsidRPr="00C9686D">
        <w:rPr>
          <w:rFonts w:ascii="Times New Roman" w:hAnsi="Times New Roman"/>
        </w:rPr>
        <w:t xml:space="preserve">. </w:t>
      </w:r>
      <w:r w:rsidR="00661E3A" w:rsidRPr="00C9686D">
        <w:rPr>
          <w:rFonts w:ascii="Times New Roman" w:hAnsi="Times New Roman"/>
        </w:rPr>
        <w:t xml:space="preserve">En razón de lo anterior, </w:t>
      </w:r>
      <w:r w:rsidR="00C96D0E" w:rsidRPr="00C9686D">
        <w:rPr>
          <w:rFonts w:ascii="Times New Roman" w:hAnsi="Times New Roman"/>
        </w:rPr>
        <w:t xml:space="preserve">en la ciudad se da origen a una primera Junta, la cual tenía como objetivo adelantar los trabajos de embellecimiento en torno a las estructuras físicas de importancia de la ciudad. </w:t>
      </w:r>
      <w:r w:rsidR="00F43851" w:rsidRPr="00C9686D">
        <w:rPr>
          <w:rFonts w:ascii="Times New Roman" w:hAnsi="Times New Roman"/>
        </w:rPr>
        <w:t>Inicialmente, la idea de ubicar la estatua de Aquileo Parra era en la ‘’plaza de Waterloo, también llamada Santander, y que dos años antes había recibido el nombre de Antonia Santos’’</w:t>
      </w:r>
      <w:r w:rsidR="00F43851" w:rsidRPr="00C9686D">
        <w:rPr>
          <w:rStyle w:val="Refdenotaalpie"/>
          <w:rFonts w:ascii="Times New Roman" w:hAnsi="Times New Roman"/>
        </w:rPr>
        <w:footnoteReference w:id="4"/>
      </w:r>
      <w:r w:rsidR="008A4EDC" w:rsidRPr="00C9686D">
        <w:rPr>
          <w:rFonts w:ascii="Times New Roman" w:hAnsi="Times New Roman"/>
        </w:rPr>
        <w:t xml:space="preserve">. </w:t>
      </w:r>
    </w:p>
    <w:p w:rsidR="0085049F" w:rsidRPr="00C9686D" w:rsidRDefault="0085049F" w:rsidP="00C9686D">
      <w:pPr>
        <w:spacing w:line="276" w:lineRule="auto"/>
        <w:jc w:val="both"/>
        <w:rPr>
          <w:rFonts w:ascii="Times New Roman" w:hAnsi="Times New Roman"/>
        </w:rPr>
      </w:pPr>
    </w:p>
    <w:p w:rsidR="00EC365E" w:rsidRPr="00C9686D" w:rsidRDefault="0085049F" w:rsidP="00C9686D">
      <w:pPr>
        <w:spacing w:line="276" w:lineRule="auto"/>
        <w:jc w:val="both"/>
        <w:rPr>
          <w:rFonts w:ascii="Times New Roman" w:hAnsi="Times New Roman"/>
        </w:rPr>
      </w:pPr>
      <w:r w:rsidRPr="00C9686D">
        <w:rPr>
          <w:rFonts w:ascii="Times New Roman" w:hAnsi="Times New Roman"/>
        </w:rPr>
        <w:t xml:space="preserve">Fueron numerosas las ideas y propuestas con el fin de definir el lugar de fundición de la escultura del exmandatario. </w:t>
      </w:r>
      <w:r w:rsidR="007F2A58" w:rsidRPr="00C9686D">
        <w:rPr>
          <w:rFonts w:ascii="Times New Roman" w:hAnsi="Times New Roman"/>
        </w:rPr>
        <w:t xml:space="preserve">Por último, se encomendó a Francisco A. Cano la realización de esta obra. </w:t>
      </w:r>
      <w:r w:rsidR="004D38A7" w:rsidRPr="00C9686D">
        <w:rPr>
          <w:rFonts w:ascii="Times New Roman" w:hAnsi="Times New Roman"/>
        </w:rPr>
        <w:t>La estatua de Aquileo Parra fue inaugurada ‘’el 1° de mayo de 1930, ante por lo menos 30 mil personas que se congregaron en el parque del Centenario, remodelado para el acto’’</w:t>
      </w:r>
      <w:r w:rsidR="004D38A7" w:rsidRPr="00C9686D">
        <w:rPr>
          <w:rStyle w:val="Refdenotaalpie"/>
          <w:rFonts w:ascii="Times New Roman" w:hAnsi="Times New Roman"/>
        </w:rPr>
        <w:footnoteReference w:id="5"/>
      </w:r>
      <w:r w:rsidR="00783377" w:rsidRPr="00C9686D">
        <w:rPr>
          <w:rFonts w:ascii="Times New Roman" w:hAnsi="Times New Roman"/>
        </w:rPr>
        <w:t xml:space="preserve">. </w:t>
      </w:r>
    </w:p>
    <w:p w:rsidR="0009107C" w:rsidRPr="00C9686D" w:rsidRDefault="0009107C" w:rsidP="00C9686D">
      <w:pPr>
        <w:spacing w:line="276" w:lineRule="auto"/>
        <w:jc w:val="both"/>
        <w:rPr>
          <w:rFonts w:ascii="Times New Roman" w:hAnsi="Times New Roman"/>
        </w:rPr>
      </w:pPr>
    </w:p>
    <w:p w:rsidR="0009107C" w:rsidRPr="00C9686D" w:rsidRDefault="0009107C" w:rsidP="00C9686D">
      <w:pPr>
        <w:spacing w:line="276" w:lineRule="auto"/>
        <w:jc w:val="both"/>
        <w:rPr>
          <w:rFonts w:ascii="Times New Roman" w:hAnsi="Times New Roman"/>
        </w:rPr>
      </w:pPr>
      <w:r w:rsidRPr="00C9686D">
        <w:rPr>
          <w:rFonts w:ascii="Times New Roman" w:hAnsi="Times New Roman"/>
        </w:rPr>
        <w:t xml:space="preserve">Por su parte, este espacio adquirió gran relevancia para la vida de los bumangueses en la primera mitad del siglo, pues se convirtió en un importante sitio de encuentro y espacio de sociabilidad donde confluían gran cantidad de personas, atraídas por sus senderos con flores y árboles frutales e incluso un kiosko que </w:t>
      </w:r>
      <w:r w:rsidRPr="00C9686D">
        <w:rPr>
          <w:rFonts w:ascii="Times New Roman" w:hAnsi="Times New Roman"/>
        </w:rPr>
        <w:lastRenderedPageBreak/>
        <w:t>fue instalado en el parque gracias a la gestión de la comunidad siria que residía en la ciudad, que contribuyó así a las conmemoraciones del c</w:t>
      </w:r>
      <w:r w:rsidR="00E21CF5" w:rsidRPr="00C9686D">
        <w:rPr>
          <w:rFonts w:ascii="Times New Roman" w:hAnsi="Times New Roman"/>
        </w:rPr>
        <w:t xml:space="preserve">entenario de la </w:t>
      </w:r>
      <w:bookmarkStart w:id="0" w:name="_GoBack"/>
      <w:bookmarkEnd w:id="0"/>
      <w:r w:rsidR="00466B9C" w:rsidRPr="00C9686D">
        <w:rPr>
          <w:rFonts w:ascii="Times New Roman" w:hAnsi="Times New Roman"/>
        </w:rPr>
        <w:t>Independencia</w:t>
      </w:r>
      <w:r w:rsidR="00E21CF5" w:rsidRPr="00C9686D">
        <w:rPr>
          <w:rStyle w:val="Refdenotaalpie"/>
          <w:rFonts w:ascii="Times New Roman" w:hAnsi="Times New Roman"/>
        </w:rPr>
        <w:footnoteReference w:id="6"/>
      </w:r>
      <w:r w:rsidR="00466B9C">
        <w:rPr>
          <w:rFonts w:ascii="Times New Roman" w:hAnsi="Times New Roman"/>
        </w:rPr>
        <w:t xml:space="preserve">. </w:t>
      </w:r>
    </w:p>
    <w:p w:rsidR="0009107C" w:rsidRPr="00C9686D" w:rsidRDefault="0009107C" w:rsidP="00C9686D">
      <w:pPr>
        <w:spacing w:line="276" w:lineRule="auto"/>
        <w:jc w:val="both"/>
        <w:rPr>
          <w:rFonts w:ascii="Times New Roman" w:hAnsi="Times New Roman"/>
        </w:rPr>
      </w:pPr>
    </w:p>
    <w:p w:rsidR="0009107C" w:rsidRPr="00C9686D" w:rsidRDefault="0009107C" w:rsidP="00C9686D">
      <w:pPr>
        <w:spacing w:line="276" w:lineRule="auto"/>
        <w:jc w:val="both"/>
        <w:rPr>
          <w:rFonts w:ascii="Times New Roman" w:hAnsi="Times New Roman"/>
        </w:rPr>
      </w:pPr>
      <w:r w:rsidRPr="00C9686D">
        <w:rPr>
          <w:rFonts w:ascii="Times New Roman" w:hAnsi="Times New Roman"/>
        </w:rPr>
        <w:t xml:space="preserve">Su valor patrimonial reside en que no sólo es un espacio que remite a las conmemoraciones centenarias de la Independencia sino que al igual que otros importantes parques de la ciudad, se convierte en un testimonio y punto de referencia para la vida en comunidad de toda la ciudad. Allí, en las inmediaciones del parque se ubicó en su momento las instalaciones del Colegio San Pedro Claver, en el edificio que actualmente es el Centro Cultural del Oriente. Y por sus pasillos, se formaron y recorrieron personajes insignes de la vida social,  política y cultural de la ciudad y del departamento. Asimismo, por gestión de los Jesuitas, el parque se convirtió en uno de los escenarios donde se </w:t>
      </w:r>
      <w:r w:rsidR="00C02691" w:rsidRPr="00C9686D">
        <w:rPr>
          <w:rFonts w:ascii="Times New Roman" w:hAnsi="Times New Roman"/>
        </w:rPr>
        <w:t xml:space="preserve">llevaron a cabo actos simbólicos </w:t>
      </w:r>
      <w:r w:rsidRPr="00C9686D">
        <w:rPr>
          <w:rFonts w:ascii="Times New Roman" w:hAnsi="Times New Roman"/>
        </w:rPr>
        <w:t xml:space="preserve">como marchas y actos simbólicos, ejecutados en compañía de los profesores y alumnos que en 1910 rindieron homenaje a los cien años del proceso que condujo al establecimiento de nuestra República. </w:t>
      </w:r>
    </w:p>
    <w:p w:rsidR="0009107C" w:rsidRPr="00C9686D" w:rsidRDefault="0009107C" w:rsidP="00C9686D">
      <w:pPr>
        <w:spacing w:line="276" w:lineRule="auto"/>
        <w:jc w:val="both"/>
        <w:rPr>
          <w:rFonts w:ascii="Times New Roman" w:hAnsi="Times New Roman"/>
        </w:rPr>
      </w:pPr>
    </w:p>
    <w:p w:rsidR="0009107C" w:rsidRPr="00C9686D" w:rsidRDefault="0009107C" w:rsidP="00C9686D">
      <w:pPr>
        <w:spacing w:line="276" w:lineRule="auto"/>
        <w:jc w:val="both"/>
        <w:rPr>
          <w:rFonts w:ascii="Times New Roman" w:hAnsi="Times New Roman"/>
        </w:rPr>
      </w:pPr>
      <w:r w:rsidRPr="00C9686D">
        <w:rPr>
          <w:rFonts w:ascii="Times New Roman" w:hAnsi="Times New Roman"/>
        </w:rPr>
        <w:t xml:space="preserve">Igualmente, el parque es escenario de muchos momentos que están arraigados en la memoria colectiva de los bumangueses. Pues en sus inmediaciones se alzó el Teatro Santander en el año 1932, escenario de una cantidad significativa de actos culturales que entretuvieron y respondieron en su momento al espíritu curioso de los pobladores de una ciudad en crecimiento tanto urbanístico como social y cultural. Posteriormente, este espacio se dispuso como sala de proyecciones cinematográficas, pues fue adquirido por la compañía Cine Colombia en 1948, y sin duda alguna, muchos bumangueses recuerdan haber visto allí sus primeras películas. Por todo, el parque Centenario y los importantes espacios que se encuentran en sus inmediaciones, cuentan una historia que ha visto el cambio social de la ciudad, pues este parque también ha servido en épocas posteriores (décadas del 60- 80) como terminal de transporte y escenario de una concurrida actividad comercial, pues fue el espacio donde se instaló uno de los bien conocidos </w:t>
      </w:r>
      <w:r w:rsidR="004C1085" w:rsidRPr="00C9686D">
        <w:rPr>
          <w:rFonts w:ascii="Times New Roman" w:hAnsi="Times New Roman"/>
        </w:rPr>
        <w:t>‘</w:t>
      </w:r>
      <w:proofErr w:type="spellStart"/>
      <w:r w:rsidRPr="00C9686D">
        <w:rPr>
          <w:rFonts w:ascii="Times New Roman" w:hAnsi="Times New Roman"/>
        </w:rPr>
        <w:t>Sanandresitos</w:t>
      </w:r>
      <w:proofErr w:type="spellEnd"/>
      <w:r w:rsidR="004C1085" w:rsidRPr="00C9686D">
        <w:rPr>
          <w:rFonts w:ascii="Times New Roman" w:hAnsi="Times New Roman"/>
        </w:rPr>
        <w:t>’</w:t>
      </w:r>
      <w:r w:rsidRPr="00C9686D">
        <w:rPr>
          <w:rFonts w:ascii="Times New Roman" w:hAnsi="Times New Roman"/>
        </w:rPr>
        <w:t xml:space="preserve">.   </w:t>
      </w:r>
    </w:p>
    <w:p w:rsidR="0009107C" w:rsidRPr="00C9686D" w:rsidRDefault="0009107C" w:rsidP="00C9686D">
      <w:pPr>
        <w:spacing w:line="276" w:lineRule="auto"/>
        <w:jc w:val="both"/>
        <w:rPr>
          <w:rFonts w:ascii="Times New Roman" w:hAnsi="Times New Roman"/>
        </w:rPr>
      </w:pPr>
    </w:p>
    <w:p w:rsidR="00EC365E" w:rsidRPr="00C9686D" w:rsidRDefault="0009107C" w:rsidP="00C9686D">
      <w:pPr>
        <w:spacing w:line="276" w:lineRule="auto"/>
        <w:jc w:val="both"/>
        <w:rPr>
          <w:rFonts w:ascii="Times New Roman" w:hAnsi="Times New Roman"/>
        </w:rPr>
      </w:pPr>
      <w:r w:rsidRPr="00C9686D">
        <w:rPr>
          <w:rFonts w:ascii="Times New Roman" w:hAnsi="Times New Roman"/>
        </w:rPr>
        <w:t xml:space="preserve">Si bien es cierto que el parque ha entrado en decadencia, pues hoy en día apenas se vislumbra un destello de su pasado de esplendor y se ha transformado en un punto que muchos habitantes de la ciudad asocian directamente con la inseguridad, el desarrollo de actividades como la venta y consumo de estupefacientes y la recurrente circulación y punto de encuentro de menesterosos, lo cierto es que ello no debe suponer un problema para que la ciudadanía revalore su importancia y en tiempos recientes, el parque ha sido escenario de transformaciones positivas como es la puesta en marcha de la recuperación del Teatro Santander y la reapertura del centro cultural del oriente.   </w:t>
      </w:r>
    </w:p>
    <w:p w:rsidR="00F2192D" w:rsidRPr="00C9686D" w:rsidRDefault="00F2192D" w:rsidP="00C9686D">
      <w:pPr>
        <w:spacing w:line="276" w:lineRule="auto"/>
        <w:jc w:val="both"/>
        <w:rPr>
          <w:rFonts w:ascii="Times New Roman" w:hAnsi="Times New Roman"/>
        </w:rPr>
      </w:pPr>
    </w:p>
    <w:p w:rsidR="002678E0" w:rsidRPr="00C9686D" w:rsidRDefault="002678E0" w:rsidP="00C9686D">
      <w:pPr>
        <w:shd w:val="clear" w:color="auto" w:fill="BFBFBF" w:themeFill="background1" w:themeFillShade="BF"/>
        <w:spacing w:line="276" w:lineRule="auto"/>
        <w:ind w:right="-1"/>
        <w:jc w:val="both"/>
        <w:rPr>
          <w:rFonts w:ascii="Times New Roman" w:hAnsi="Times New Roman"/>
          <w:b/>
        </w:rPr>
      </w:pPr>
      <w:r w:rsidRPr="00C9686D">
        <w:rPr>
          <w:rFonts w:ascii="Times New Roman" w:hAnsi="Times New Roman"/>
          <w:b/>
        </w:rPr>
        <w:t>Descripción física</w:t>
      </w:r>
    </w:p>
    <w:p w:rsidR="00E75BDC" w:rsidRPr="00C9686D" w:rsidRDefault="00E75BDC" w:rsidP="00C9686D">
      <w:pPr>
        <w:spacing w:line="276" w:lineRule="auto"/>
        <w:ind w:right="-1"/>
        <w:jc w:val="both"/>
        <w:rPr>
          <w:rFonts w:ascii="Times New Roman" w:hAnsi="Times New Roman"/>
          <w:lang w:val="es-ES"/>
        </w:rPr>
      </w:pPr>
    </w:p>
    <w:p w:rsidR="002678E0" w:rsidRPr="00C9686D" w:rsidRDefault="00184F90" w:rsidP="00C9686D">
      <w:pPr>
        <w:spacing w:line="276" w:lineRule="auto"/>
        <w:ind w:right="-1"/>
        <w:jc w:val="both"/>
        <w:rPr>
          <w:rFonts w:ascii="Times New Roman" w:hAnsi="Times New Roman"/>
          <w:color w:val="000000" w:themeColor="text1"/>
          <w:lang w:val="es-ES"/>
        </w:rPr>
      </w:pPr>
      <w:r w:rsidRPr="00C9686D">
        <w:rPr>
          <w:rFonts w:ascii="Times New Roman" w:hAnsi="Times New Roman"/>
          <w:color w:val="000000" w:themeColor="text1"/>
          <w:lang w:val="es-ES"/>
        </w:rPr>
        <w:t>El parque Centena</w:t>
      </w:r>
      <w:r w:rsidR="00466B9C">
        <w:rPr>
          <w:rFonts w:ascii="Times New Roman" w:hAnsi="Times New Roman"/>
          <w:color w:val="000000" w:themeColor="text1"/>
          <w:lang w:val="es-ES"/>
        </w:rPr>
        <w:t>rio se encuentra ubicado en la C</w:t>
      </w:r>
      <w:r w:rsidRPr="00C9686D">
        <w:rPr>
          <w:rFonts w:ascii="Times New Roman" w:hAnsi="Times New Roman"/>
          <w:color w:val="000000" w:themeColor="text1"/>
          <w:lang w:val="es-ES"/>
        </w:rPr>
        <w:t>ra</w:t>
      </w:r>
      <w:r w:rsidR="00466B9C">
        <w:rPr>
          <w:rFonts w:ascii="Times New Roman" w:hAnsi="Times New Roman"/>
          <w:color w:val="000000" w:themeColor="text1"/>
          <w:lang w:val="es-ES"/>
        </w:rPr>
        <w:t xml:space="preserve">. 18 con </w:t>
      </w:r>
      <w:proofErr w:type="spellStart"/>
      <w:r w:rsidR="00466B9C">
        <w:rPr>
          <w:rFonts w:ascii="Times New Roman" w:hAnsi="Times New Roman"/>
          <w:color w:val="000000" w:themeColor="text1"/>
          <w:lang w:val="es-ES"/>
        </w:rPr>
        <w:t>C</w:t>
      </w:r>
      <w:r w:rsidR="00EF4CED" w:rsidRPr="00C9686D">
        <w:rPr>
          <w:rFonts w:ascii="Times New Roman" w:hAnsi="Times New Roman"/>
          <w:color w:val="000000" w:themeColor="text1"/>
          <w:lang w:val="es-ES"/>
        </w:rPr>
        <w:t>ll</w:t>
      </w:r>
      <w:proofErr w:type="spellEnd"/>
      <w:r w:rsidR="00466B9C">
        <w:rPr>
          <w:rFonts w:ascii="Times New Roman" w:hAnsi="Times New Roman"/>
          <w:color w:val="000000" w:themeColor="text1"/>
          <w:lang w:val="es-ES"/>
        </w:rPr>
        <w:t>.</w:t>
      </w:r>
      <w:r w:rsidR="00EF4CED" w:rsidRPr="00C9686D">
        <w:rPr>
          <w:rFonts w:ascii="Times New Roman" w:hAnsi="Times New Roman"/>
          <w:color w:val="000000" w:themeColor="text1"/>
          <w:lang w:val="es-ES"/>
        </w:rPr>
        <w:t xml:space="preserve"> 33, precisamente en la Comuna 15 de Bucaramanga: Centro. </w:t>
      </w:r>
      <w:r w:rsidR="00B06DD7" w:rsidRPr="00C9686D">
        <w:rPr>
          <w:rFonts w:ascii="Times New Roman" w:hAnsi="Times New Roman"/>
          <w:color w:val="000000" w:themeColor="text1"/>
          <w:lang w:val="es-ES"/>
        </w:rPr>
        <w:t xml:space="preserve">Hacia el costado oriental del parque se puede encontrar ubicado el antiguamente </w:t>
      </w:r>
      <w:r w:rsidR="00B06DD7" w:rsidRPr="00C9686D">
        <w:rPr>
          <w:rFonts w:ascii="Times New Roman" w:hAnsi="Times New Roman"/>
          <w:color w:val="000000" w:themeColor="text1"/>
          <w:lang w:val="es-ES"/>
        </w:rPr>
        <w:lastRenderedPageBreak/>
        <w:t xml:space="preserve">conocido como Colegio El Pilar, y actualmente sede el Centro Cultural del Oriente. Así mismo, el mencionado sitio fue sede también del colegio San Pedro Claver antes de su nueva construcción ubicada en el barrio Sotomayor. </w:t>
      </w:r>
      <w:r w:rsidR="006A55EA" w:rsidRPr="00C9686D">
        <w:rPr>
          <w:rFonts w:ascii="Times New Roman" w:hAnsi="Times New Roman"/>
          <w:color w:val="000000" w:themeColor="text1"/>
          <w:lang w:val="es-ES"/>
        </w:rPr>
        <w:t xml:space="preserve">Hacia el costado Sur del parque, exactamente sobre la esquina, se encuentra ubicado el ahora remodelado Teatro Santander. </w:t>
      </w:r>
      <w:r w:rsidR="00AD7D3F" w:rsidRPr="00C9686D">
        <w:rPr>
          <w:rFonts w:ascii="Times New Roman" w:hAnsi="Times New Roman"/>
          <w:color w:val="000000" w:themeColor="text1"/>
          <w:lang w:val="es-ES"/>
        </w:rPr>
        <w:t>De igual manera, sobre la misma calle se puede encontrar ubicado el centro comercial conocido como ‘</w:t>
      </w:r>
      <w:proofErr w:type="spellStart"/>
      <w:r w:rsidR="00AD7D3F" w:rsidRPr="00C9686D">
        <w:rPr>
          <w:rFonts w:ascii="Times New Roman" w:hAnsi="Times New Roman"/>
          <w:color w:val="000000" w:themeColor="text1"/>
          <w:lang w:val="es-ES"/>
        </w:rPr>
        <w:t>Bucacentro</w:t>
      </w:r>
      <w:proofErr w:type="spellEnd"/>
      <w:r w:rsidR="00AD7D3F" w:rsidRPr="00C9686D">
        <w:rPr>
          <w:rFonts w:ascii="Times New Roman" w:hAnsi="Times New Roman"/>
          <w:color w:val="000000" w:themeColor="text1"/>
          <w:lang w:val="es-ES"/>
        </w:rPr>
        <w:t>’</w:t>
      </w:r>
      <w:r w:rsidR="000C1C14" w:rsidRPr="00C9686D">
        <w:rPr>
          <w:rFonts w:ascii="Times New Roman" w:hAnsi="Times New Roman"/>
          <w:color w:val="000000" w:themeColor="text1"/>
          <w:lang w:val="es-ES"/>
        </w:rPr>
        <w:t xml:space="preserve">. </w:t>
      </w:r>
    </w:p>
    <w:p w:rsidR="000C1C14" w:rsidRPr="00C9686D" w:rsidRDefault="000C1C14" w:rsidP="00C9686D">
      <w:pPr>
        <w:spacing w:line="276" w:lineRule="auto"/>
        <w:ind w:right="-1"/>
        <w:jc w:val="both"/>
        <w:rPr>
          <w:rFonts w:ascii="Times New Roman" w:hAnsi="Times New Roman"/>
          <w:color w:val="000000" w:themeColor="text1"/>
          <w:lang w:val="es-ES"/>
        </w:rPr>
      </w:pPr>
    </w:p>
    <w:p w:rsidR="002678E0" w:rsidRPr="00C9686D" w:rsidRDefault="000C1C14" w:rsidP="00C9686D">
      <w:pPr>
        <w:spacing w:line="276" w:lineRule="auto"/>
        <w:ind w:right="-1"/>
        <w:jc w:val="both"/>
        <w:rPr>
          <w:rFonts w:ascii="Times New Roman" w:hAnsi="Times New Roman"/>
          <w:color w:val="000000" w:themeColor="text1"/>
          <w:lang w:val="es-ES"/>
        </w:rPr>
      </w:pPr>
      <w:r w:rsidRPr="00C9686D">
        <w:rPr>
          <w:rFonts w:ascii="Times New Roman" w:hAnsi="Times New Roman"/>
          <w:color w:val="000000" w:themeColor="text1"/>
          <w:lang w:val="es-ES"/>
        </w:rPr>
        <w:t xml:space="preserve">El parque Centenario </w:t>
      </w:r>
      <w:r w:rsidR="005D2AB5" w:rsidRPr="00C9686D">
        <w:rPr>
          <w:rFonts w:ascii="Times New Roman" w:hAnsi="Times New Roman"/>
          <w:color w:val="000000" w:themeColor="text1"/>
          <w:lang w:val="es-ES"/>
        </w:rPr>
        <w:t xml:space="preserve">se encuentra construido </w:t>
      </w:r>
      <w:r w:rsidRPr="00C9686D">
        <w:rPr>
          <w:rFonts w:ascii="Times New Roman" w:hAnsi="Times New Roman"/>
          <w:color w:val="000000" w:themeColor="text1"/>
          <w:lang w:val="es-ES"/>
        </w:rPr>
        <w:t xml:space="preserve">de manera rectangular, sus límites o fronteras </w:t>
      </w:r>
      <w:r w:rsidR="00982EF2" w:rsidRPr="00C9686D">
        <w:rPr>
          <w:rFonts w:ascii="Times New Roman" w:hAnsi="Times New Roman"/>
          <w:color w:val="000000" w:themeColor="text1"/>
          <w:lang w:val="es-ES"/>
        </w:rPr>
        <w:t xml:space="preserve">espaciales </w:t>
      </w:r>
      <w:r w:rsidRPr="00C9686D">
        <w:rPr>
          <w:rFonts w:ascii="Times New Roman" w:hAnsi="Times New Roman"/>
          <w:color w:val="000000" w:themeColor="text1"/>
          <w:lang w:val="es-ES"/>
        </w:rPr>
        <w:t xml:space="preserve">se encuentran </w:t>
      </w:r>
      <w:r w:rsidR="00982EF2" w:rsidRPr="00C9686D">
        <w:rPr>
          <w:rFonts w:ascii="Times New Roman" w:hAnsi="Times New Roman"/>
          <w:color w:val="000000" w:themeColor="text1"/>
          <w:lang w:val="es-ES"/>
        </w:rPr>
        <w:t xml:space="preserve">delimitadas de la siguiente manera: por el Norte con la calle 31, por el Sur con la calle 33, por el Oriente por la carrera 19 y por el Occidente con la carrera 18. </w:t>
      </w:r>
      <w:r w:rsidR="0069168A" w:rsidRPr="00C9686D">
        <w:rPr>
          <w:rFonts w:ascii="Times New Roman" w:hAnsi="Times New Roman"/>
          <w:color w:val="000000" w:themeColor="text1"/>
          <w:lang w:val="es-ES"/>
        </w:rPr>
        <w:t xml:space="preserve">En los alrededores del parque Centenario se pueden encontrar de igual manera numerosos hoteles, notarías (1ra, 2da y 5ta) y hacia la calle 34 con carrera 19 el centro empresarial La Triada. </w:t>
      </w:r>
      <w:r w:rsidR="00E912C9" w:rsidRPr="00C9686D">
        <w:rPr>
          <w:rFonts w:ascii="Times New Roman" w:hAnsi="Times New Roman"/>
          <w:color w:val="000000" w:themeColor="text1"/>
          <w:lang w:val="es-ES"/>
        </w:rPr>
        <w:t xml:space="preserve">Sobre su aspecto físico destaca, como se mencionó anteriormente, el gran tamaño del mismo con aproximadamente </w:t>
      </w:r>
      <w:r w:rsidR="00E177B4" w:rsidRPr="00C9686D">
        <w:rPr>
          <w:rFonts w:ascii="Times New Roman" w:hAnsi="Times New Roman"/>
          <w:color w:val="000000" w:themeColor="text1"/>
          <w:lang w:val="es-ES"/>
        </w:rPr>
        <w:t>5038 m</w:t>
      </w:r>
      <w:r w:rsidR="00BD3412" w:rsidRPr="00C9686D">
        <w:rPr>
          <w:rFonts w:ascii="Times New Roman" w:hAnsi="Times New Roman"/>
          <w:color w:val="000000" w:themeColor="text1"/>
          <w:lang w:val="es-ES"/>
        </w:rPr>
        <w:t>2</w:t>
      </w:r>
      <w:r w:rsidR="00BD3412" w:rsidRPr="00C9686D">
        <w:rPr>
          <w:rStyle w:val="Refdenotaalpie"/>
          <w:rFonts w:ascii="Times New Roman" w:hAnsi="Times New Roman"/>
          <w:color w:val="000000" w:themeColor="text1"/>
          <w:lang w:val="es-ES"/>
        </w:rPr>
        <w:footnoteReference w:id="7"/>
      </w:r>
      <w:r w:rsidR="00591AE2" w:rsidRPr="00C9686D">
        <w:rPr>
          <w:rFonts w:ascii="Times New Roman" w:hAnsi="Times New Roman"/>
          <w:color w:val="000000" w:themeColor="text1"/>
          <w:lang w:val="es-ES"/>
        </w:rPr>
        <w:t xml:space="preserve">. Del parque Centenario también es posible distinguir la cantidad y variedad de especies arbóreas que en este espacio público se encuentran. De igual manera, su estructura física señala el centro del parque el cual está adornado con la escultura de Aquileo Parra. </w:t>
      </w:r>
    </w:p>
    <w:p w:rsidR="00E177B4" w:rsidRPr="00C9686D" w:rsidRDefault="00E177B4" w:rsidP="00C9686D">
      <w:pPr>
        <w:spacing w:line="276" w:lineRule="auto"/>
        <w:ind w:right="-1"/>
        <w:jc w:val="both"/>
        <w:rPr>
          <w:rFonts w:ascii="Times New Roman" w:hAnsi="Times New Roman"/>
          <w:color w:val="000000" w:themeColor="text1"/>
          <w:lang w:val="es-ES"/>
        </w:rPr>
      </w:pPr>
    </w:p>
    <w:p w:rsidR="00A41372" w:rsidRPr="00C9686D" w:rsidRDefault="00C9686D" w:rsidP="00C9686D">
      <w:pPr>
        <w:spacing w:line="276" w:lineRule="auto"/>
        <w:ind w:right="-1"/>
        <w:jc w:val="both"/>
        <w:rPr>
          <w:rFonts w:ascii="Times New Roman" w:hAnsi="Times New Roman"/>
          <w:color w:val="000000" w:themeColor="text1"/>
          <w:lang w:val="es-ES"/>
        </w:rPr>
      </w:pPr>
      <w:r w:rsidRPr="00C9686D">
        <w:rPr>
          <w:rFonts w:ascii="Times New Roman" w:hAnsi="Times New Roman"/>
          <w:color w:val="000000" w:themeColor="text1"/>
          <w:lang w:val="es-ES"/>
        </w:rPr>
        <w:t>Actualmente</w:t>
      </w:r>
      <w:r w:rsidR="00E36D53" w:rsidRPr="00C9686D">
        <w:rPr>
          <w:rFonts w:ascii="Times New Roman" w:hAnsi="Times New Roman"/>
          <w:color w:val="000000" w:themeColor="text1"/>
          <w:lang w:val="es-ES"/>
        </w:rPr>
        <w:t xml:space="preserve">, el parque </w:t>
      </w:r>
      <w:r w:rsidRPr="00C9686D">
        <w:rPr>
          <w:rFonts w:ascii="Times New Roman" w:hAnsi="Times New Roman"/>
          <w:color w:val="000000" w:themeColor="text1"/>
          <w:lang w:val="es-ES"/>
        </w:rPr>
        <w:t>Centenario</w:t>
      </w:r>
      <w:r w:rsidR="008765B0" w:rsidRPr="00C9686D">
        <w:rPr>
          <w:rFonts w:ascii="Times New Roman" w:hAnsi="Times New Roman"/>
          <w:color w:val="000000" w:themeColor="text1"/>
          <w:lang w:val="es-ES"/>
        </w:rPr>
        <w:t xml:space="preserve"> es un foco de inseguridad debido a los problemas asociados a la venta y consumo de sustancias psicoactivas, prostitución y asentamiento de población </w:t>
      </w:r>
      <w:r w:rsidR="00A41372" w:rsidRPr="00C9686D">
        <w:rPr>
          <w:rFonts w:ascii="Times New Roman" w:hAnsi="Times New Roman"/>
          <w:color w:val="000000" w:themeColor="text1"/>
          <w:lang w:val="es-ES"/>
        </w:rPr>
        <w:t>extrajera</w:t>
      </w:r>
      <w:r w:rsidR="008765B0" w:rsidRPr="00C9686D">
        <w:rPr>
          <w:rFonts w:ascii="Times New Roman" w:hAnsi="Times New Roman"/>
          <w:color w:val="000000" w:themeColor="text1"/>
          <w:lang w:val="es-ES"/>
        </w:rPr>
        <w:t>.</w:t>
      </w:r>
      <w:r w:rsidR="00A41372" w:rsidRPr="00C9686D">
        <w:rPr>
          <w:rFonts w:ascii="Times New Roman" w:hAnsi="Times New Roman"/>
          <w:color w:val="000000" w:themeColor="text1"/>
          <w:lang w:val="es-ES"/>
        </w:rPr>
        <w:t xml:space="preserve"> Del parque se destaca un tipo de </w:t>
      </w:r>
      <w:r w:rsidR="00AC2F7F" w:rsidRPr="00C9686D">
        <w:rPr>
          <w:rFonts w:ascii="Times New Roman" w:hAnsi="Times New Roman"/>
          <w:color w:val="000000" w:themeColor="text1"/>
          <w:lang w:val="es-ES"/>
        </w:rPr>
        <w:t>‘</w:t>
      </w:r>
      <w:r w:rsidR="00A41372" w:rsidRPr="00C9686D">
        <w:rPr>
          <w:rFonts w:ascii="Times New Roman" w:hAnsi="Times New Roman"/>
          <w:color w:val="000000" w:themeColor="text1"/>
          <w:lang w:val="es-ES"/>
        </w:rPr>
        <w:t>kiosko</w:t>
      </w:r>
      <w:r w:rsidR="00AC2F7F" w:rsidRPr="00C9686D">
        <w:rPr>
          <w:rFonts w:ascii="Times New Roman" w:hAnsi="Times New Roman"/>
          <w:color w:val="000000" w:themeColor="text1"/>
          <w:lang w:val="es-ES"/>
        </w:rPr>
        <w:t>’</w:t>
      </w:r>
      <w:r w:rsidR="00A41372" w:rsidRPr="00C9686D">
        <w:rPr>
          <w:rFonts w:ascii="Times New Roman" w:hAnsi="Times New Roman"/>
          <w:color w:val="000000" w:themeColor="text1"/>
          <w:lang w:val="es-ES"/>
        </w:rPr>
        <w:t xml:space="preserve"> o tarima que en años pasados se usaba para la presentación musical. </w:t>
      </w:r>
      <w:r w:rsidR="007A7112" w:rsidRPr="00C9686D">
        <w:rPr>
          <w:rFonts w:ascii="Times New Roman" w:hAnsi="Times New Roman"/>
          <w:color w:val="000000" w:themeColor="text1"/>
          <w:lang w:val="es-ES"/>
        </w:rPr>
        <w:t xml:space="preserve">Como se mencionó, en el centro del parque se encuentra ubicada la escultura de Aquileo Parra la cual está montada sobre un gran pedestal mirando hacia el Occidente de la ciudad. </w:t>
      </w:r>
    </w:p>
    <w:p w:rsidR="00A41372" w:rsidRPr="00C9686D" w:rsidRDefault="00A41372" w:rsidP="00C9686D">
      <w:pPr>
        <w:spacing w:line="276" w:lineRule="auto"/>
        <w:ind w:right="-1"/>
        <w:jc w:val="both"/>
        <w:rPr>
          <w:rFonts w:ascii="Times New Roman" w:hAnsi="Times New Roman"/>
          <w:color w:val="000000" w:themeColor="text1"/>
          <w:lang w:val="es-ES"/>
        </w:rPr>
      </w:pPr>
    </w:p>
    <w:p w:rsidR="002678E0" w:rsidRPr="00C9686D" w:rsidRDefault="008765B0" w:rsidP="00C9686D">
      <w:pPr>
        <w:spacing w:line="276" w:lineRule="auto"/>
        <w:ind w:right="-1"/>
        <w:jc w:val="both"/>
        <w:rPr>
          <w:rFonts w:ascii="Times New Roman" w:hAnsi="Times New Roman"/>
          <w:lang w:val="es-ES"/>
        </w:rPr>
      </w:pPr>
      <w:r w:rsidRPr="00C9686D">
        <w:rPr>
          <w:rFonts w:ascii="Times New Roman" w:hAnsi="Times New Roman"/>
          <w:color w:val="000000" w:themeColor="text1"/>
          <w:lang w:val="es-ES"/>
        </w:rPr>
        <w:t xml:space="preserve"> </w:t>
      </w:r>
    </w:p>
    <w:p w:rsidR="002678E0" w:rsidRPr="00C9686D" w:rsidRDefault="002678E0" w:rsidP="00C9686D">
      <w:pPr>
        <w:shd w:val="clear" w:color="auto" w:fill="BFBFBF" w:themeFill="background1" w:themeFillShade="BF"/>
        <w:spacing w:line="276" w:lineRule="auto"/>
        <w:ind w:right="-1"/>
        <w:jc w:val="both"/>
        <w:rPr>
          <w:rFonts w:ascii="Times New Roman" w:hAnsi="Times New Roman"/>
          <w:b/>
        </w:rPr>
      </w:pPr>
      <w:r w:rsidRPr="00C9686D">
        <w:rPr>
          <w:rFonts w:ascii="Times New Roman" w:hAnsi="Times New Roman"/>
          <w:b/>
        </w:rPr>
        <w:t>Referencias bibliográficas</w:t>
      </w:r>
    </w:p>
    <w:p w:rsidR="00DA4BD3" w:rsidRPr="00C9686D" w:rsidRDefault="00DA4BD3" w:rsidP="00C9686D">
      <w:pPr>
        <w:spacing w:line="276" w:lineRule="auto"/>
        <w:ind w:right="-1"/>
        <w:jc w:val="both"/>
        <w:rPr>
          <w:rFonts w:ascii="Times New Roman" w:hAnsi="Times New Roman"/>
          <w:lang w:val="es-ES"/>
        </w:rPr>
      </w:pPr>
    </w:p>
    <w:p w:rsidR="00DA4BD3" w:rsidRDefault="00C9686D" w:rsidP="00C9686D">
      <w:pPr>
        <w:spacing w:line="276" w:lineRule="auto"/>
        <w:jc w:val="both"/>
        <w:rPr>
          <w:rFonts w:ascii="Times New Roman" w:hAnsi="Times New Roman"/>
          <w:lang w:eastAsia="es-CO"/>
        </w:rPr>
      </w:pPr>
      <w:r>
        <w:rPr>
          <w:rFonts w:ascii="Times New Roman" w:hAnsi="Times New Roman"/>
          <w:lang w:eastAsia="es-CO"/>
        </w:rPr>
        <w:t xml:space="preserve">RIVERA, José del Carmen. </w:t>
      </w:r>
      <w:r>
        <w:rPr>
          <w:rFonts w:ascii="Times New Roman" w:hAnsi="Times New Roman"/>
          <w:i/>
          <w:lang w:eastAsia="es-CO"/>
        </w:rPr>
        <w:t>Bucaramanga</w:t>
      </w:r>
      <w:r w:rsidRPr="00C9686D">
        <w:rPr>
          <w:rFonts w:ascii="Times New Roman" w:hAnsi="Times New Roman"/>
          <w:i/>
          <w:lang w:eastAsia="es-CO"/>
        </w:rPr>
        <w:t xml:space="preserve">: parques, estatuas, </w:t>
      </w:r>
      <w:r w:rsidR="00DA4BD3" w:rsidRPr="00C9686D">
        <w:rPr>
          <w:rFonts w:ascii="Times New Roman" w:hAnsi="Times New Roman"/>
          <w:i/>
          <w:lang w:eastAsia="es-CO"/>
        </w:rPr>
        <w:t>símbolos</w:t>
      </w:r>
      <w:r w:rsidR="00DA4BD3" w:rsidRPr="00C9686D">
        <w:rPr>
          <w:rFonts w:ascii="Times New Roman" w:hAnsi="Times New Roman"/>
          <w:lang w:eastAsia="es-CO"/>
        </w:rPr>
        <w:t>. Contraloría General de la Republica. Año.198</w:t>
      </w:r>
      <w:r w:rsidR="002C2B9C">
        <w:rPr>
          <w:rFonts w:ascii="Times New Roman" w:hAnsi="Times New Roman"/>
          <w:lang w:eastAsia="es-CO"/>
        </w:rPr>
        <w:t xml:space="preserve">9. </w:t>
      </w:r>
    </w:p>
    <w:p w:rsidR="002C2B9C" w:rsidRDefault="002C2B9C" w:rsidP="00C9686D">
      <w:pPr>
        <w:spacing w:line="276" w:lineRule="auto"/>
        <w:jc w:val="both"/>
        <w:rPr>
          <w:rFonts w:ascii="Times New Roman" w:hAnsi="Times New Roman"/>
          <w:lang w:eastAsia="es-CO"/>
        </w:rPr>
      </w:pPr>
    </w:p>
    <w:p w:rsidR="00DA4BD3" w:rsidRDefault="002C2B9C" w:rsidP="00C9686D">
      <w:pPr>
        <w:spacing w:line="276" w:lineRule="auto"/>
        <w:jc w:val="both"/>
        <w:rPr>
          <w:rFonts w:ascii="Times New Roman" w:hAnsi="Times New Roman"/>
        </w:rPr>
      </w:pPr>
      <w:r>
        <w:rPr>
          <w:rFonts w:ascii="Times New Roman" w:hAnsi="Times New Roman"/>
        </w:rPr>
        <w:t>SOCIEDAD PEDGOGICA DE SANTANDER</w:t>
      </w:r>
      <w:r w:rsidR="00FC332A">
        <w:rPr>
          <w:rFonts w:ascii="Times New Roman" w:hAnsi="Times New Roman"/>
        </w:rPr>
        <w:t xml:space="preserve">. </w:t>
      </w:r>
      <w:r w:rsidR="00DA4BD3" w:rsidRPr="006859D8">
        <w:rPr>
          <w:rFonts w:ascii="Times New Roman" w:hAnsi="Times New Roman"/>
          <w:i/>
        </w:rPr>
        <w:t>“Crónica del Centenario de Bucaramanga”</w:t>
      </w:r>
      <w:r w:rsidR="006859D8">
        <w:rPr>
          <w:rFonts w:ascii="Times New Roman" w:hAnsi="Times New Roman"/>
        </w:rPr>
        <w:t xml:space="preserve">. EN: </w:t>
      </w:r>
      <w:r>
        <w:rPr>
          <w:rFonts w:ascii="Times New Roman" w:hAnsi="Times New Roman"/>
          <w:i/>
        </w:rPr>
        <w:t xml:space="preserve">Revista de </w:t>
      </w:r>
      <w:r w:rsidR="00DA4BD3" w:rsidRPr="00C9686D">
        <w:rPr>
          <w:rFonts w:ascii="Times New Roman" w:hAnsi="Times New Roman"/>
          <w:i/>
        </w:rPr>
        <w:t>Santander</w:t>
      </w:r>
      <w:r w:rsidR="00DA4BD3" w:rsidRPr="00C9686D">
        <w:rPr>
          <w:rFonts w:ascii="Times New Roman" w:hAnsi="Times New Roman"/>
        </w:rPr>
        <w:t>, núm. 5, marzo de 2010.</w:t>
      </w:r>
    </w:p>
    <w:p w:rsidR="00C9686D" w:rsidRPr="00C9686D" w:rsidRDefault="00C9686D" w:rsidP="00C9686D">
      <w:pPr>
        <w:spacing w:line="276" w:lineRule="auto"/>
        <w:jc w:val="both"/>
        <w:rPr>
          <w:rFonts w:ascii="Times New Roman" w:hAnsi="Times New Roman"/>
        </w:rPr>
      </w:pPr>
    </w:p>
    <w:p w:rsidR="00DA4BD3" w:rsidRPr="00C9686D" w:rsidRDefault="00C9686D" w:rsidP="00C9686D">
      <w:pPr>
        <w:spacing w:line="276" w:lineRule="auto"/>
        <w:jc w:val="both"/>
        <w:rPr>
          <w:rFonts w:ascii="Times New Roman" w:hAnsi="Times New Roman"/>
          <w:lang w:eastAsia="es-CO"/>
        </w:rPr>
      </w:pPr>
      <w:r>
        <w:rPr>
          <w:rFonts w:ascii="Times New Roman" w:hAnsi="Times New Roman"/>
          <w:lang w:eastAsia="es-CO"/>
        </w:rPr>
        <w:t xml:space="preserve">SPINEL LUNA, Juan Francisco. </w:t>
      </w:r>
      <w:r w:rsidRPr="002C2B9C">
        <w:rPr>
          <w:rFonts w:ascii="Times New Roman" w:hAnsi="Times New Roman"/>
          <w:i/>
          <w:lang w:eastAsia="es-CO"/>
        </w:rPr>
        <w:t>El centro de Bucaramanga: una aproximación interdisciplinaria para la renovación urbana</w:t>
      </w:r>
      <w:r w:rsidR="00DA4BD3" w:rsidRPr="00C9686D">
        <w:rPr>
          <w:rFonts w:ascii="Times New Roman" w:hAnsi="Times New Roman"/>
          <w:lang w:eastAsia="es-CO"/>
        </w:rPr>
        <w:t xml:space="preserve">. Informe final de Pasantía para obtener el título de Historiador. Universidad Industrial de Santander. </w:t>
      </w:r>
    </w:p>
    <w:p w:rsidR="00DA4BD3" w:rsidRPr="00C9686D" w:rsidRDefault="00DA4BD3" w:rsidP="00C9686D">
      <w:pPr>
        <w:spacing w:line="276" w:lineRule="auto"/>
        <w:ind w:right="-1"/>
        <w:jc w:val="both"/>
        <w:rPr>
          <w:rFonts w:ascii="Times New Roman" w:hAnsi="Times New Roman"/>
          <w:lang w:val="es-ES"/>
        </w:rPr>
      </w:pPr>
    </w:p>
    <w:p w:rsidR="001140C3" w:rsidRPr="00C9686D" w:rsidRDefault="004C1085" w:rsidP="00C9686D">
      <w:pPr>
        <w:tabs>
          <w:tab w:val="left" w:pos="6825"/>
        </w:tabs>
        <w:spacing w:line="276" w:lineRule="auto"/>
        <w:ind w:left="720" w:right="-1"/>
        <w:jc w:val="both"/>
        <w:rPr>
          <w:rFonts w:ascii="Times New Roman" w:hAnsi="Times New Roman"/>
        </w:rPr>
      </w:pPr>
      <w:r w:rsidRPr="00C9686D">
        <w:rPr>
          <w:rFonts w:ascii="Times New Roman" w:hAnsi="Times New Roman"/>
        </w:rPr>
        <w:tab/>
      </w:r>
    </w:p>
    <w:sectPr w:rsidR="001140C3" w:rsidRPr="00C9686D" w:rsidSect="00145E8D">
      <w:headerReference w:type="even" r:id="rId13"/>
      <w:headerReference w:type="default" r:id="rId14"/>
      <w:footerReference w:type="default" r:id="rId15"/>
      <w:pgSz w:w="12240" w:h="15840"/>
      <w:pgMar w:top="284" w:right="1325" w:bottom="1135" w:left="993" w:header="708" w:footer="62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2178" w:rsidRDefault="00212178" w:rsidP="00F521CD">
      <w:r>
        <w:separator/>
      </w:r>
    </w:p>
  </w:endnote>
  <w:endnote w:type="continuationSeparator" w:id="0">
    <w:p w:rsidR="00212178" w:rsidRDefault="00212178" w:rsidP="00F52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4F90" w:rsidRDefault="00184F90" w:rsidP="002678E0">
    <w:pPr>
      <w:rPr>
        <w:rFonts w:asciiTheme="majorHAnsi" w:hAnsiTheme="majorHAnsi" w:cs="Arial"/>
        <w:b/>
        <w:bCs/>
        <w:sz w:val="16"/>
        <w:szCs w:val="16"/>
        <w:lang w:val="es-CO"/>
      </w:rPr>
    </w:pPr>
  </w:p>
  <w:p w:rsidR="00184F90" w:rsidRPr="002678E0" w:rsidRDefault="00184F90" w:rsidP="002678E0">
    <w:pPr>
      <w:rPr>
        <w:rFonts w:asciiTheme="majorHAnsi" w:hAnsiTheme="majorHAnsi" w:cs="Arial"/>
        <w:b/>
        <w:bCs/>
        <w:sz w:val="16"/>
        <w:szCs w:val="16"/>
        <w:lang w:val="es-CO"/>
      </w:rPr>
    </w:pPr>
    <w:r w:rsidRPr="002678E0">
      <w:rPr>
        <w:rFonts w:asciiTheme="majorHAnsi" w:hAnsiTheme="majorHAnsi" w:cs="Arial"/>
        <w:b/>
        <w:bCs/>
        <w:sz w:val="16"/>
        <w:szCs w:val="16"/>
        <w:lang w:val="es-CO"/>
      </w:rPr>
      <w:t>FICHA DE INVENTARIO DE BIENES CULTURALES INMUEBLE</w:t>
    </w:r>
  </w:p>
  <w:p w:rsidR="00184F90" w:rsidRDefault="00184F90" w:rsidP="002678E0">
    <w:pPr>
      <w:pStyle w:val="Piedepgina"/>
      <w:tabs>
        <w:tab w:val="clear" w:pos="4252"/>
        <w:tab w:val="clear" w:pos="8504"/>
        <w:tab w:val="left" w:pos="4395"/>
      </w:tabs>
      <w:rPr>
        <w:rFonts w:asciiTheme="minorHAnsi" w:hAnsiTheme="minorHAnsi" w:cs="Arial"/>
        <w:sz w:val="16"/>
        <w:szCs w:val="16"/>
        <w:lang w:val="es-CO"/>
      </w:rPr>
    </w:pPr>
    <w:r w:rsidRPr="002678E0">
      <w:rPr>
        <w:rFonts w:asciiTheme="minorHAnsi" w:hAnsiTheme="minorHAnsi" w:cs="Arial"/>
        <w:sz w:val="16"/>
        <w:szCs w:val="16"/>
        <w:lang w:val="es-CO"/>
      </w:rPr>
      <w:t>RESEÑA HISTÓRICA Y DESCRIPCIÓN FÍSICA</w:t>
    </w:r>
  </w:p>
  <w:p w:rsidR="00184F90" w:rsidRDefault="00184F90" w:rsidP="002678E0">
    <w:pPr>
      <w:pStyle w:val="Piedepgina"/>
      <w:tabs>
        <w:tab w:val="clear" w:pos="4252"/>
        <w:tab w:val="clear" w:pos="8504"/>
        <w:tab w:val="left" w:pos="4395"/>
      </w:tabs>
      <w:rPr>
        <w:rFonts w:asciiTheme="minorHAnsi" w:hAnsiTheme="minorHAnsi" w:cs="Arial"/>
        <w:sz w:val="16"/>
        <w:szCs w:val="16"/>
        <w:lang w:val="es-CO"/>
      </w:rPr>
    </w:pPr>
    <w:r>
      <w:rPr>
        <w:rFonts w:asciiTheme="minorHAnsi" w:hAnsiTheme="minorHAnsi" w:cs="Arial"/>
        <w:sz w:val="16"/>
        <w:szCs w:val="16"/>
        <w:lang w:val="es-CO"/>
      </w:rPr>
      <w:t xml:space="preserve">Página </w:t>
    </w:r>
    <w:r>
      <w:rPr>
        <w:rFonts w:asciiTheme="minorHAnsi" w:hAnsiTheme="minorHAnsi" w:cs="Arial"/>
        <w:sz w:val="16"/>
        <w:szCs w:val="16"/>
        <w:lang w:val="es-CO"/>
      </w:rPr>
      <w:fldChar w:fldCharType="begin"/>
    </w:r>
    <w:r>
      <w:rPr>
        <w:rFonts w:asciiTheme="minorHAnsi" w:hAnsiTheme="minorHAnsi" w:cs="Arial"/>
        <w:sz w:val="16"/>
        <w:szCs w:val="16"/>
        <w:lang w:val="es-CO"/>
      </w:rPr>
      <w:instrText xml:space="preserve"> PAGE   \* MERGEFORMAT </w:instrText>
    </w:r>
    <w:r>
      <w:rPr>
        <w:rFonts w:asciiTheme="minorHAnsi" w:hAnsiTheme="minorHAnsi" w:cs="Arial"/>
        <w:sz w:val="16"/>
        <w:szCs w:val="16"/>
        <w:lang w:val="es-CO"/>
      </w:rPr>
      <w:fldChar w:fldCharType="separate"/>
    </w:r>
    <w:r w:rsidR="00466B9C">
      <w:rPr>
        <w:rFonts w:asciiTheme="minorHAnsi" w:hAnsiTheme="minorHAnsi" w:cs="Arial"/>
        <w:noProof/>
        <w:sz w:val="16"/>
        <w:szCs w:val="16"/>
        <w:lang w:val="es-CO"/>
      </w:rPr>
      <w:t>2</w:t>
    </w:r>
    <w:r>
      <w:rPr>
        <w:rFonts w:asciiTheme="minorHAnsi" w:hAnsiTheme="minorHAnsi" w:cs="Arial"/>
        <w:sz w:val="16"/>
        <w:szCs w:val="16"/>
        <w:lang w:val="es-CO"/>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2178" w:rsidRDefault="00212178" w:rsidP="00F521CD">
      <w:r>
        <w:separator/>
      </w:r>
    </w:p>
  </w:footnote>
  <w:footnote w:type="continuationSeparator" w:id="0">
    <w:p w:rsidR="00212178" w:rsidRDefault="00212178" w:rsidP="00F521CD">
      <w:r>
        <w:continuationSeparator/>
      </w:r>
    </w:p>
  </w:footnote>
  <w:footnote w:id="1">
    <w:p w:rsidR="00184F90" w:rsidRPr="00C6438E" w:rsidRDefault="00184F90" w:rsidP="00C6438E">
      <w:pPr>
        <w:pStyle w:val="Textonotapie"/>
        <w:jc w:val="both"/>
        <w:rPr>
          <w:rFonts w:ascii="Times New Roman" w:hAnsi="Times New Roman"/>
          <w:lang w:val="es-CO"/>
        </w:rPr>
      </w:pPr>
      <w:r w:rsidRPr="00C6438E">
        <w:rPr>
          <w:rStyle w:val="Refdenotaalpie"/>
          <w:rFonts w:ascii="Times New Roman" w:hAnsi="Times New Roman"/>
        </w:rPr>
        <w:footnoteRef/>
      </w:r>
      <w:r w:rsidRPr="00C6438E">
        <w:rPr>
          <w:rFonts w:ascii="Times New Roman" w:hAnsi="Times New Roman"/>
        </w:rPr>
        <w:t xml:space="preserve"> Rivera, José del Carmen. Bucaramanga: parques, estatuas, símbolos. Bogotá: Contralorí</w:t>
      </w:r>
      <w:r>
        <w:rPr>
          <w:rFonts w:ascii="Times New Roman" w:hAnsi="Times New Roman"/>
        </w:rPr>
        <w:t xml:space="preserve">a General de la Republica. p. 61. </w:t>
      </w:r>
    </w:p>
  </w:footnote>
  <w:footnote w:id="2">
    <w:p w:rsidR="00184F90" w:rsidRPr="00473900" w:rsidRDefault="00184F90" w:rsidP="00473900">
      <w:pPr>
        <w:pStyle w:val="Textonotapie"/>
        <w:jc w:val="both"/>
        <w:rPr>
          <w:rFonts w:ascii="Times New Roman" w:hAnsi="Times New Roman"/>
          <w:lang w:val="es-CO"/>
        </w:rPr>
      </w:pPr>
      <w:r w:rsidRPr="00473900">
        <w:rPr>
          <w:rStyle w:val="Refdenotaalpie"/>
          <w:rFonts w:ascii="Times New Roman" w:hAnsi="Times New Roman"/>
        </w:rPr>
        <w:footnoteRef/>
      </w:r>
      <w:r w:rsidRPr="00473900">
        <w:rPr>
          <w:rFonts w:ascii="Times New Roman" w:hAnsi="Times New Roman"/>
        </w:rPr>
        <w:t xml:space="preserve"> Ibíd. p. 63. </w:t>
      </w:r>
    </w:p>
  </w:footnote>
  <w:footnote w:id="3">
    <w:p w:rsidR="00184F90" w:rsidRPr="00E92500" w:rsidRDefault="00184F90" w:rsidP="00E92500">
      <w:pPr>
        <w:pStyle w:val="Textonotapie"/>
        <w:jc w:val="both"/>
        <w:rPr>
          <w:lang w:val="es-CO"/>
        </w:rPr>
      </w:pPr>
      <w:r w:rsidRPr="00E92500">
        <w:rPr>
          <w:rStyle w:val="Refdenotaalpie"/>
          <w:rFonts w:ascii="Times New Roman" w:hAnsi="Times New Roman"/>
        </w:rPr>
        <w:footnoteRef/>
      </w:r>
      <w:r w:rsidRPr="00E92500">
        <w:rPr>
          <w:rFonts w:ascii="Times New Roman" w:hAnsi="Times New Roman"/>
        </w:rPr>
        <w:t xml:space="preserve"> </w:t>
      </w:r>
      <w:r w:rsidRPr="00E92500">
        <w:rPr>
          <w:rFonts w:ascii="Times New Roman" w:hAnsi="Times New Roman"/>
          <w:lang w:val="es-CO"/>
        </w:rPr>
        <w:t>Ibíd. p. 63</w:t>
      </w:r>
      <w:r>
        <w:rPr>
          <w:lang w:val="es-CO"/>
        </w:rPr>
        <w:t xml:space="preserve">. </w:t>
      </w:r>
    </w:p>
  </w:footnote>
  <w:footnote w:id="4">
    <w:p w:rsidR="00184F90" w:rsidRPr="00F43851" w:rsidRDefault="00184F90" w:rsidP="00F43851">
      <w:pPr>
        <w:pStyle w:val="Textonotapie"/>
        <w:jc w:val="both"/>
        <w:rPr>
          <w:rFonts w:ascii="Times New Roman" w:hAnsi="Times New Roman"/>
          <w:lang w:val="es-CO"/>
        </w:rPr>
      </w:pPr>
      <w:r w:rsidRPr="00F43851">
        <w:rPr>
          <w:rStyle w:val="Refdenotaalpie"/>
          <w:rFonts w:ascii="Times New Roman" w:hAnsi="Times New Roman"/>
        </w:rPr>
        <w:footnoteRef/>
      </w:r>
      <w:r w:rsidRPr="00F43851">
        <w:rPr>
          <w:rFonts w:ascii="Times New Roman" w:hAnsi="Times New Roman"/>
        </w:rPr>
        <w:t xml:space="preserve"> </w:t>
      </w:r>
      <w:r w:rsidRPr="00F43851">
        <w:rPr>
          <w:rFonts w:ascii="Times New Roman" w:hAnsi="Times New Roman"/>
          <w:lang w:val="es-CO"/>
        </w:rPr>
        <w:t xml:space="preserve">Ibíd. p. 63. </w:t>
      </w:r>
    </w:p>
  </w:footnote>
  <w:footnote w:id="5">
    <w:p w:rsidR="00184F90" w:rsidRPr="004D38A7" w:rsidRDefault="00184F90" w:rsidP="006F56F0">
      <w:pPr>
        <w:pStyle w:val="Textonotapie"/>
        <w:jc w:val="both"/>
        <w:rPr>
          <w:rFonts w:ascii="Times New Roman" w:hAnsi="Times New Roman"/>
          <w:lang w:val="es-CO"/>
        </w:rPr>
      </w:pPr>
      <w:r w:rsidRPr="004D38A7">
        <w:rPr>
          <w:rStyle w:val="Refdenotaalpie"/>
          <w:rFonts w:ascii="Times New Roman" w:hAnsi="Times New Roman"/>
        </w:rPr>
        <w:footnoteRef/>
      </w:r>
      <w:r w:rsidRPr="004D38A7">
        <w:rPr>
          <w:rFonts w:ascii="Times New Roman" w:hAnsi="Times New Roman"/>
        </w:rPr>
        <w:t xml:space="preserve"> </w:t>
      </w:r>
      <w:r w:rsidRPr="004D38A7">
        <w:rPr>
          <w:rFonts w:ascii="Times New Roman" w:hAnsi="Times New Roman"/>
          <w:lang w:val="es-CO"/>
        </w:rPr>
        <w:t xml:space="preserve">Ibíd. p. 66. </w:t>
      </w:r>
    </w:p>
  </w:footnote>
  <w:footnote w:id="6">
    <w:p w:rsidR="00184F90" w:rsidRPr="00E21CF5" w:rsidRDefault="00184F90" w:rsidP="006F56F0">
      <w:pPr>
        <w:pStyle w:val="Textonotapie"/>
        <w:jc w:val="both"/>
        <w:rPr>
          <w:lang w:val="es-CO"/>
        </w:rPr>
      </w:pPr>
      <w:r>
        <w:rPr>
          <w:rStyle w:val="Refdenotaalpie"/>
        </w:rPr>
        <w:footnoteRef/>
      </w:r>
      <w:r w:rsidRPr="00A71B04">
        <w:rPr>
          <w:rFonts w:ascii="Times New Roman" w:hAnsi="Times New Roman"/>
        </w:rPr>
        <w:t xml:space="preserve">Sociedad Pedagógica de Santander, “Crónica del Centenario de Bucaramanga”, en </w:t>
      </w:r>
      <w:r w:rsidRPr="00A71B04">
        <w:rPr>
          <w:rFonts w:ascii="Times New Roman" w:hAnsi="Times New Roman"/>
          <w:i/>
        </w:rPr>
        <w:t>Revista de</w:t>
      </w:r>
      <w:r w:rsidRPr="00A71B04">
        <w:rPr>
          <w:rFonts w:ascii="Times New Roman" w:hAnsi="Times New Roman"/>
          <w:i/>
        </w:rPr>
        <w:br/>
        <w:t>Santander</w:t>
      </w:r>
      <w:r>
        <w:rPr>
          <w:rFonts w:ascii="Times New Roman" w:hAnsi="Times New Roman"/>
        </w:rPr>
        <w:t xml:space="preserve">, núm. 5, marzo de 2010, p. 10. </w:t>
      </w:r>
    </w:p>
  </w:footnote>
  <w:footnote w:id="7">
    <w:p w:rsidR="00BD3412" w:rsidRPr="00BD3412" w:rsidRDefault="00BD3412" w:rsidP="00BD3412">
      <w:pPr>
        <w:pStyle w:val="Textonotapie"/>
        <w:jc w:val="both"/>
        <w:rPr>
          <w:rFonts w:ascii="Times New Roman" w:hAnsi="Times New Roman"/>
          <w:lang w:val="es-CO"/>
        </w:rPr>
      </w:pPr>
      <w:r w:rsidRPr="00BD3412">
        <w:rPr>
          <w:rStyle w:val="Refdenotaalpie"/>
          <w:rFonts w:ascii="Times New Roman" w:hAnsi="Times New Roman"/>
        </w:rPr>
        <w:footnoteRef/>
      </w:r>
      <w:r w:rsidRPr="00BD3412">
        <w:rPr>
          <w:rFonts w:ascii="Times New Roman" w:hAnsi="Times New Roman"/>
        </w:rPr>
        <w:t xml:space="preserve"> </w:t>
      </w:r>
      <w:r w:rsidRPr="00BD3412">
        <w:rPr>
          <w:rFonts w:ascii="Times New Roman" w:hAnsi="Times New Roman"/>
          <w:lang w:val="es-CO"/>
        </w:rPr>
        <w:t xml:space="preserve">ALCALDÍA DE BUCARAMANGA. Obras públicas: ciudad de los parques. </w:t>
      </w:r>
      <w:r>
        <w:rPr>
          <w:rFonts w:ascii="Times New Roman" w:hAnsi="Times New Roman"/>
          <w:lang w:val="es-CO"/>
        </w:rPr>
        <w:t>Disponible: en línea en la página web:</w:t>
      </w:r>
      <w:r w:rsidRPr="00BD3412">
        <w:t xml:space="preserve"> </w:t>
      </w:r>
      <w:hyperlink r:id="rId1" w:history="1">
        <w:r w:rsidRPr="00086398">
          <w:rPr>
            <w:rStyle w:val="Hipervnculo"/>
            <w:rFonts w:ascii="Times New Roman" w:hAnsi="Times New Roman"/>
            <w:lang w:val="es-CO"/>
          </w:rPr>
          <w:t>https://www.bucaramanga.gov.co/obras-publicas/ciudad-de-los-parques/</w:t>
        </w:r>
      </w:hyperlink>
      <w:r>
        <w:rPr>
          <w:rFonts w:ascii="Times New Roman" w:hAnsi="Times New Roman"/>
          <w:lang w:val="es-CO"/>
        </w:rPr>
        <w:t xml:space="preserve">. </w:t>
      </w:r>
      <w:r w:rsidR="00E43061">
        <w:rPr>
          <w:rFonts w:ascii="Times New Roman" w:hAnsi="Times New Roman"/>
          <w:lang w:val="es-CO"/>
        </w:rPr>
        <w:t xml:space="preserve">Consultado: el día 1 de abril, 2021.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4F90" w:rsidRDefault="00212178">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9582735" o:spid="_x0000_s2082" type="#_x0000_t75" style="position:absolute;margin-left:0;margin-top:0;width:637.5pt;height:600pt;z-index:-251655168;mso-position-horizontal:center;mso-position-horizontal-relative:margin;mso-position-vertical:center;mso-position-vertical-relative:margin" o:allowincell="f">
          <v:imagedata r:id="rId1" o:title="Untitled-1"/>
          <w10:wrap anchorx="margin" anchory="margin"/>
        </v:shape>
      </w:pict>
    </w:r>
    <w:r w:rsidR="00184F90">
      <w:rPr>
        <w:noProof/>
        <w:lang w:val="es-CO" w:eastAsia="es-CO"/>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16192500" cy="26670000"/>
          <wp:effectExtent l="0" t="0" r="0" b="0"/>
          <wp:wrapNone/>
          <wp:docPr id="297" name="Imagen 297" descr="Marca de agua Of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Marca de agua Ofici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0" cy="2667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F90">
      <w:rPr>
        <w:noProof/>
        <w:lang w:val="es-CO" w:eastAsia="es-CO"/>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6477000" cy="8382000"/>
          <wp:effectExtent l="0" t="0" r="0" b="0"/>
          <wp:wrapNone/>
          <wp:docPr id="298" name="Imagen 1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77000" cy="838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F90">
      <w:rPr>
        <w:noProof/>
        <w:lang w:val="es-CO" w:eastAsia="es-CO"/>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9715500" cy="12573000"/>
          <wp:effectExtent l="0" t="0" r="0" b="0"/>
          <wp:wrapNone/>
          <wp:docPr id="299" name="Imagen 11"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715500" cy="1257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F90">
      <w:rPr>
        <w:noProof/>
        <w:lang w:val="es-CO" w:eastAsia="es-CO"/>
      </w:rPr>
      <w:drawing>
        <wp:anchor distT="0" distB="0" distL="114300" distR="114300" simplePos="0" relativeHeight="251657216" behindDoc="1" locked="0" layoutInCell="1" allowOverlap="1">
          <wp:simplePos x="0" y="0"/>
          <wp:positionH relativeFrom="margin">
            <wp:align>center</wp:align>
          </wp:positionH>
          <wp:positionV relativeFrom="margin">
            <wp:align>center</wp:align>
          </wp:positionV>
          <wp:extent cx="11658600" cy="15087600"/>
          <wp:effectExtent l="0" t="0" r="0" b="0"/>
          <wp:wrapNone/>
          <wp:docPr id="300" name="Imagen 9"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Marca de agu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658600" cy="1508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F90">
      <w:rPr>
        <w:noProof/>
        <w:lang w:val="es-CO" w:eastAsia="es-CO"/>
      </w:rPr>
      <w:drawing>
        <wp:anchor distT="0" distB="0" distL="114300" distR="114300" simplePos="0" relativeHeight="251656192" behindDoc="1" locked="0" layoutInCell="1" allowOverlap="1">
          <wp:simplePos x="0" y="0"/>
          <wp:positionH relativeFrom="margin">
            <wp:align>center</wp:align>
          </wp:positionH>
          <wp:positionV relativeFrom="margin">
            <wp:align>center</wp:align>
          </wp:positionV>
          <wp:extent cx="8102600" cy="10477500"/>
          <wp:effectExtent l="0" t="0" r="0" b="0"/>
          <wp:wrapNone/>
          <wp:docPr id="301" name="Imagen 7" descr="Marca de Agu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Marca de Agua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F90">
      <w:rPr>
        <w:noProof/>
        <w:lang w:val="es-CO" w:eastAsia="es-CO"/>
      </w:rPr>
      <w:drawing>
        <wp:anchor distT="0" distB="0" distL="114300" distR="114300" simplePos="0" relativeHeight="251655168" behindDoc="1" locked="0" layoutInCell="1" allowOverlap="1">
          <wp:simplePos x="0" y="0"/>
          <wp:positionH relativeFrom="margin">
            <wp:align>center</wp:align>
          </wp:positionH>
          <wp:positionV relativeFrom="margin">
            <wp:align>center</wp:align>
          </wp:positionV>
          <wp:extent cx="8102600" cy="10477500"/>
          <wp:effectExtent l="0" t="0" r="0" b="0"/>
          <wp:wrapNone/>
          <wp:docPr id="302" name="Imagen 5" descr="Marca de Agu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Marca de Agua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F90">
      <w:rPr>
        <w:noProof/>
        <w:lang w:val="es-CO" w:eastAsia="es-CO"/>
      </w:rPr>
      <w:drawing>
        <wp:anchor distT="0" distB="0" distL="114300" distR="114300" simplePos="0" relativeHeight="251654144" behindDoc="1" locked="0" layoutInCell="1" allowOverlap="1">
          <wp:simplePos x="0" y="0"/>
          <wp:positionH relativeFrom="margin">
            <wp:align>center</wp:align>
          </wp:positionH>
          <wp:positionV relativeFrom="margin">
            <wp:align>center</wp:align>
          </wp:positionV>
          <wp:extent cx="8102600" cy="10477500"/>
          <wp:effectExtent l="0" t="0" r="0" b="0"/>
          <wp:wrapNone/>
          <wp:docPr id="303" name="Imagen 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arca de Agu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502"/>
      <w:gridCol w:w="6558"/>
    </w:tblGrid>
    <w:tr w:rsidR="00184F90" w:rsidTr="0089273F">
      <w:trPr>
        <w:trHeight w:val="791"/>
      </w:trPr>
      <w:tc>
        <w:tcPr>
          <w:tcW w:w="3502" w:type="dxa"/>
          <w:vAlign w:val="center"/>
        </w:tcPr>
        <w:p w:rsidR="00184F90" w:rsidRDefault="00184F90" w:rsidP="00145E8D">
          <w:pPr>
            <w:jc w:val="center"/>
            <w:rPr>
              <w:rFonts w:ascii="Arial" w:hAnsi="Arial" w:cs="Arial"/>
              <w:sz w:val="22"/>
              <w:szCs w:val="22"/>
            </w:rPr>
          </w:pPr>
          <w:r>
            <w:rPr>
              <w:noProof/>
              <w:lang w:val="es-CO" w:eastAsia="es-CO"/>
            </w:rPr>
            <w:drawing>
              <wp:inline distT="0" distB="0" distL="0" distR="0" wp14:anchorId="0498E5B9" wp14:editId="78B1AADE">
                <wp:extent cx="1492249" cy="433917"/>
                <wp:effectExtent l="0" t="0" r="0" b="4445"/>
                <wp:docPr id="5" name="Imagen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pic:cNvPr>
                        <pic:cNvPicPr/>
                      </pic:nvPicPr>
                      <pic:blipFill>
                        <a:blip r:embed="rId1"/>
                        <a:stretch>
                          <a:fillRect/>
                        </a:stretch>
                      </pic:blipFill>
                      <pic:spPr>
                        <a:xfrm>
                          <a:off x="0" y="0"/>
                          <a:ext cx="1492249" cy="433917"/>
                        </a:xfrm>
                        <a:prstGeom prst="rect">
                          <a:avLst/>
                        </a:prstGeom>
                      </pic:spPr>
                    </pic:pic>
                  </a:graphicData>
                </a:graphic>
              </wp:inline>
            </w:drawing>
          </w:r>
        </w:p>
      </w:tc>
      <w:tc>
        <w:tcPr>
          <w:tcW w:w="6558" w:type="dxa"/>
          <w:shd w:val="clear" w:color="auto" w:fill="A6A6A6" w:themeFill="background1" w:themeFillShade="A6"/>
          <w:vAlign w:val="center"/>
        </w:tcPr>
        <w:p w:rsidR="00184F90" w:rsidRPr="0089273F" w:rsidRDefault="00184F90" w:rsidP="00145E8D">
          <w:pPr>
            <w:jc w:val="center"/>
            <w:rPr>
              <w:rFonts w:ascii="Arial" w:hAnsi="Arial" w:cs="Arial"/>
              <w:b/>
              <w:bCs/>
              <w:sz w:val="20"/>
              <w:szCs w:val="20"/>
              <w:lang w:val="es-CO"/>
            </w:rPr>
          </w:pPr>
          <w:r w:rsidRPr="0089273F">
            <w:rPr>
              <w:rFonts w:ascii="Arial" w:hAnsi="Arial" w:cs="Arial"/>
              <w:b/>
              <w:bCs/>
              <w:sz w:val="20"/>
              <w:szCs w:val="20"/>
              <w:lang w:val="es-CO"/>
            </w:rPr>
            <w:t>FICHA DE INVENTARIO DE BIENES CULTURALES INMUEBLE</w:t>
          </w:r>
        </w:p>
        <w:p w:rsidR="00184F90" w:rsidRPr="0089273F" w:rsidRDefault="00184F90" w:rsidP="00145E8D">
          <w:pPr>
            <w:jc w:val="center"/>
            <w:rPr>
              <w:rFonts w:ascii="Arial" w:hAnsi="Arial" w:cs="Arial"/>
              <w:sz w:val="20"/>
              <w:szCs w:val="20"/>
            </w:rPr>
          </w:pPr>
          <w:r w:rsidRPr="0089273F">
            <w:rPr>
              <w:rFonts w:ascii="Arial" w:hAnsi="Arial" w:cs="Arial"/>
              <w:sz w:val="20"/>
              <w:szCs w:val="20"/>
              <w:lang w:val="es-CO"/>
            </w:rPr>
            <w:t>RESEÑA HISTÓRICA Y DESCRIPCIÓN FÍSICA</w:t>
          </w:r>
        </w:p>
      </w:tc>
    </w:tr>
  </w:tbl>
  <w:p w:rsidR="00184F90" w:rsidRDefault="00184F90" w:rsidP="00145E8D">
    <w:pPr>
      <w:pStyle w:val="Encabezado"/>
      <w:ind w:right="-2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791A49"/>
    <w:multiLevelType w:val="hybridMultilevel"/>
    <w:tmpl w:val="421C93C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4AB6680E"/>
    <w:multiLevelType w:val="hybridMultilevel"/>
    <w:tmpl w:val="2A16074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attachedTemplate r:id="rId1"/>
  <w:defaultTabStop w:val="708"/>
  <w:hyphenationZone w:val="425"/>
  <w:characterSpacingControl w:val="doNotCompress"/>
  <w:hdrShapeDefaults>
    <o:shapedefaults v:ext="edit" spidmax="208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9BD"/>
    <w:rsid w:val="00014A26"/>
    <w:rsid w:val="0002073C"/>
    <w:rsid w:val="00034A71"/>
    <w:rsid w:val="00063153"/>
    <w:rsid w:val="0009107C"/>
    <w:rsid w:val="000B28DE"/>
    <w:rsid w:val="000C1C14"/>
    <w:rsid w:val="000E119E"/>
    <w:rsid w:val="000E6F90"/>
    <w:rsid w:val="00103C76"/>
    <w:rsid w:val="001140C3"/>
    <w:rsid w:val="00145E8D"/>
    <w:rsid w:val="00153842"/>
    <w:rsid w:val="00162595"/>
    <w:rsid w:val="00171F9D"/>
    <w:rsid w:val="00172D53"/>
    <w:rsid w:val="00182D8B"/>
    <w:rsid w:val="00184F90"/>
    <w:rsid w:val="00186340"/>
    <w:rsid w:val="001A6E90"/>
    <w:rsid w:val="001F1665"/>
    <w:rsid w:val="00212178"/>
    <w:rsid w:val="00225BA4"/>
    <w:rsid w:val="002678E0"/>
    <w:rsid w:val="002768F9"/>
    <w:rsid w:val="002B181A"/>
    <w:rsid w:val="002C2B9C"/>
    <w:rsid w:val="00305AE3"/>
    <w:rsid w:val="00320DF2"/>
    <w:rsid w:val="0033242B"/>
    <w:rsid w:val="00374093"/>
    <w:rsid w:val="00374B23"/>
    <w:rsid w:val="00375098"/>
    <w:rsid w:val="0037644A"/>
    <w:rsid w:val="00393471"/>
    <w:rsid w:val="003953B3"/>
    <w:rsid w:val="003969A2"/>
    <w:rsid w:val="003A0919"/>
    <w:rsid w:val="003A24CC"/>
    <w:rsid w:val="003A689E"/>
    <w:rsid w:val="003C4F93"/>
    <w:rsid w:val="003D6FF8"/>
    <w:rsid w:val="003E0AF8"/>
    <w:rsid w:val="00401DA3"/>
    <w:rsid w:val="00411A20"/>
    <w:rsid w:val="00415674"/>
    <w:rsid w:val="004219BD"/>
    <w:rsid w:val="004338AF"/>
    <w:rsid w:val="00440979"/>
    <w:rsid w:val="0044675A"/>
    <w:rsid w:val="00455D63"/>
    <w:rsid w:val="0046569C"/>
    <w:rsid w:val="00466B9C"/>
    <w:rsid w:val="004678EF"/>
    <w:rsid w:val="00473900"/>
    <w:rsid w:val="004858A2"/>
    <w:rsid w:val="004921C3"/>
    <w:rsid w:val="00497C30"/>
    <w:rsid w:val="004B7075"/>
    <w:rsid w:val="004C0A4B"/>
    <w:rsid w:val="004C1085"/>
    <w:rsid w:val="004C6F6D"/>
    <w:rsid w:val="004D38A7"/>
    <w:rsid w:val="004E3A21"/>
    <w:rsid w:val="004E4245"/>
    <w:rsid w:val="00504264"/>
    <w:rsid w:val="00520FE5"/>
    <w:rsid w:val="00526623"/>
    <w:rsid w:val="00556FE5"/>
    <w:rsid w:val="0056502A"/>
    <w:rsid w:val="00573E1D"/>
    <w:rsid w:val="00587790"/>
    <w:rsid w:val="00591AE2"/>
    <w:rsid w:val="005A4A12"/>
    <w:rsid w:val="005B356A"/>
    <w:rsid w:val="005B4D4D"/>
    <w:rsid w:val="005B6498"/>
    <w:rsid w:val="005D2AB5"/>
    <w:rsid w:val="005E4446"/>
    <w:rsid w:val="0061088A"/>
    <w:rsid w:val="00611E3D"/>
    <w:rsid w:val="00661E3A"/>
    <w:rsid w:val="00677949"/>
    <w:rsid w:val="006859D8"/>
    <w:rsid w:val="0069168A"/>
    <w:rsid w:val="00695C91"/>
    <w:rsid w:val="006A55EA"/>
    <w:rsid w:val="006C24B8"/>
    <w:rsid w:val="006E2E32"/>
    <w:rsid w:val="006E3835"/>
    <w:rsid w:val="006E4FC4"/>
    <w:rsid w:val="006F19DC"/>
    <w:rsid w:val="006F2BF0"/>
    <w:rsid w:val="006F381F"/>
    <w:rsid w:val="006F56F0"/>
    <w:rsid w:val="0070028A"/>
    <w:rsid w:val="00704D5B"/>
    <w:rsid w:val="00724C93"/>
    <w:rsid w:val="007255E0"/>
    <w:rsid w:val="00766D30"/>
    <w:rsid w:val="0078295A"/>
    <w:rsid w:val="00783377"/>
    <w:rsid w:val="007A7112"/>
    <w:rsid w:val="007C0281"/>
    <w:rsid w:val="007D74B4"/>
    <w:rsid w:val="007E2061"/>
    <w:rsid w:val="007F2A58"/>
    <w:rsid w:val="00803F9D"/>
    <w:rsid w:val="00834A54"/>
    <w:rsid w:val="00837F5C"/>
    <w:rsid w:val="0085049F"/>
    <w:rsid w:val="00855894"/>
    <w:rsid w:val="00855A2D"/>
    <w:rsid w:val="00857508"/>
    <w:rsid w:val="00863A08"/>
    <w:rsid w:val="008765B0"/>
    <w:rsid w:val="00883699"/>
    <w:rsid w:val="0088742D"/>
    <w:rsid w:val="0089273F"/>
    <w:rsid w:val="00896C32"/>
    <w:rsid w:val="008A248A"/>
    <w:rsid w:val="008A4EDC"/>
    <w:rsid w:val="00902A7E"/>
    <w:rsid w:val="00921A0B"/>
    <w:rsid w:val="00922387"/>
    <w:rsid w:val="00930FC0"/>
    <w:rsid w:val="00943399"/>
    <w:rsid w:val="0095669B"/>
    <w:rsid w:val="00982EF2"/>
    <w:rsid w:val="00984D2C"/>
    <w:rsid w:val="009A4456"/>
    <w:rsid w:val="009B1279"/>
    <w:rsid w:val="009B620B"/>
    <w:rsid w:val="009D4BE3"/>
    <w:rsid w:val="00A41372"/>
    <w:rsid w:val="00A437FF"/>
    <w:rsid w:val="00A43E08"/>
    <w:rsid w:val="00A5554A"/>
    <w:rsid w:val="00A74C5A"/>
    <w:rsid w:val="00A803FD"/>
    <w:rsid w:val="00A90D22"/>
    <w:rsid w:val="00AC2F7F"/>
    <w:rsid w:val="00AD7D3F"/>
    <w:rsid w:val="00AF25E7"/>
    <w:rsid w:val="00B006A2"/>
    <w:rsid w:val="00B06DD7"/>
    <w:rsid w:val="00B466EA"/>
    <w:rsid w:val="00B53B3A"/>
    <w:rsid w:val="00B83503"/>
    <w:rsid w:val="00B85AFF"/>
    <w:rsid w:val="00BB409E"/>
    <w:rsid w:val="00BB477D"/>
    <w:rsid w:val="00BC53FD"/>
    <w:rsid w:val="00BD3412"/>
    <w:rsid w:val="00BE0774"/>
    <w:rsid w:val="00C02691"/>
    <w:rsid w:val="00C44BBA"/>
    <w:rsid w:val="00C56C5D"/>
    <w:rsid w:val="00C6438E"/>
    <w:rsid w:val="00C65B47"/>
    <w:rsid w:val="00C80E48"/>
    <w:rsid w:val="00C876C1"/>
    <w:rsid w:val="00C9686D"/>
    <w:rsid w:val="00C96D0E"/>
    <w:rsid w:val="00D258F1"/>
    <w:rsid w:val="00D34A3B"/>
    <w:rsid w:val="00D6044C"/>
    <w:rsid w:val="00DA4BD3"/>
    <w:rsid w:val="00DA525D"/>
    <w:rsid w:val="00DD742E"/>
    <w:rsid w:val="00DE3D3C"/>
    <w:rsid w:val="00DF61F4"/>
    <w:rsid w:val="00E177B4"/>
    <w:rsid w:val="00E21CF5"/>
    <w:rsid w:val="00E36D53"/>
    <w:rsid w:val="00E43061"/>
    <w:rsid w:val="00E44452"/>
    <w:rsid w:val="00E75BDC"/>
    <w:rsid w:val="00E912C9"/>
    <w:rsid w:val="00E92500"/>
    <w:rsid w:val="00EA1186"/>
    <w:rsid w:val="00EA7C81"/>
    <w:rsid w:val="00EC365E"/>
    <w:rsid w:val="00EF4CED"/>
    <w:rsid w:val="00F133AE"/>
    <w:rsid w:val="00F2192D"/>
    <w:rsid w:val="00F33AB8"/>
    <w:rsid w:val="00F43851"/>
    <w:rsid w:val="00F43999"/>
    <w:rsid w:val="00F521CD"/>
    <w:rsid w:val="00FC332A"/>
    <w:rsid w:val="00FF2DE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3"/>
    <o:shapelayout v:ext="edit">
      <o:idmap v:ext="edit" data="1"/>
    </o:shapelayout>
  </w:shapeDefaults>
  <w:decimalSymbol w:val=","/>
  <w:listSeparator w:val=","/>
  <w15:docId w15:val="{6CD8C122-B390-4840-A77F-3398B64FB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0DF2"/>
    <w:rPr>
      <w:rFonts w:eastAsia="Times New Roman"/>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A1186"/>
    <w:pPr>
      <w:tabs>
        <w:tab w:val="center" w:pos="4252"/>
        <w:tab w:val="right" w:pos="8504"/>
      </w:tabs>
    </w:pPr>
  </w:style>
  <w:style w:type="character" w:customStyle="1" w:styleId="EncabezadoCar">
    <w:name w:val="Encabezado Car"/>
    <w:link w:val="Encabezado"/>
    <w:uiPriority w:val="99"/>
    <w:rsid w:val="00EA1186"/>
    <w:rPr>
      <w:rFonts w:eastAsia="Times New Roman"/>
      <w:sz w:val="24"/>
      <w:szCs w:val="24"/>
      <w:lang w:val="es-CO" w:eastAsia="es-ES"/>
    </w:rPr>
  </w:style>
  <w:style w:type="paragraph" w:styleId="Piedepgina">
    <w:name w:val="footer"/>
    <w:basedOn w:val="Normal"/>
    <w:link w:val="PiedepginaCar"/>
    <w:uiPriority w:val="99"/>
    <w:unhideWhenUsed/>
    <w:rsid w:val="00EA1186"/>
    <w:pPr>
      <w:tabs>
        <w:tab w:val="center" w:pos="4252"/>
        <w:tab w:val="right" w:pos="8504"/>
      </w:tabs>
    </w:pPr>
  </w:style>
  <w:style w:type="character" w:customStyle="1" w:styleId="PiedepginaCar">
    <w:name w:val="Pie de página Car"/>
    <w:link w:val="Piedepgina"/>
    <w:uiPriority w:val="99"/>
    <w:rsid w:val="00EA1186"/>
    <w:rPr>
      <w:rFonts w:eastAsia="Times New Roman"/>
      <w:sz w:val="24"/>
      <w:szCs w:val="24"/>
      <w:lang w:val="es-CO" w:eastAsia="es-ES"/>
    </w:rPr>
  </w:style>
  <w:style w:type="paragraph" w:styleId="Sinespaciado">
    <w:name w:val="No Spacing"/>
    <w:uiPriority w:val="1"/>
    <w:qFormat/>
    <w:rsid w:val="00EA1186"/>
    <w:rPr>
      <w:rFonts w:eastAsia="Times New Roman"/>
      <w:sz w:val="24"/>
      <w:szCs w:val="24"/>
      <w:lang w:val="es-ES_tradnl" w:eastAsia="es-ES"/>
    </w:rPr>
  </w:style>
  <w:style w:type="paragraph" w:styleId="Textodeglobo">
    <w:name w:val="Balloon Text"/>
    <w:basedOn w:val="Normal"/>
    <w:link w:val="TextodegloboCar"/>
    <w:uiPriority w:val="99"/>
    <w:semiHidden/>
    <w:unhideWhenUsed/>
    <w:rsid w:val="00EA1186"/>
    <w:rPr>
      <w:rFonts w:ascii="Tahoma" w:hAnsi="Tahoma" w:cs="Tahoma"/>
      <w:sz w:val="16"/>
      <w:szCs w:val="16"/>
    </w:rPr>
  </w:style>
  <w:style w:type="character" w:customStyle="1" w:styleId="TextodegloboCar">
    <w:name w:val="Texto de globo Car"/>
    <w:link w:val="Textodeglobo"/>
    <w:uiPriority w:val="99"/>
    <w:semiHidden/>
    <w:rsid w:val="00EA1186"/>
    <w:rPr>
      <w:rFonts w:ascii="Tahoma" w:eastAsia="Times New Roman" w:hAnsi="Tahoma" w:cs="Tahoma"/>
      <w:sz w:val="16"/>
      <w:szCs w:val="16"/>
      <w:lang w:val="es-CO" w:eastAsia="es-ES"/>
    </w:rPr>
  </w:style>
  <w:style w:type="paragraph" w:customStyle="1" w:styleId="Textoindependiente21">
    <w:name w:val="Texto independiente 21"/>
    <w:basedOn w:val="Normal"/>
    <w:rsid w:val="003D6FF8"/>
    <w:pPr>
      <w:jc w:val="both"/>
    </w:pPr>
    <w:rPr>
      <w:rFonts w:ascii="Tahoma" w:eastAsia="Calibri" w:hAnsi="Tahoma" w:cs="Tahoma"/>
      <w:color w:val="003366"/>
      <w:sz w:val="20"/>
      <w:szCs w:val="20"/>
      <w:lang w:eastAsia="es-CO"/>
    </w:rPr>
  </w:style>
  <w:style w:type="character" w:styleId="Refdecomentario">
    <w:name w:val="annotation reference"/>
    <w:uiPriority w:val="99"/>
    <w:semiHidden/>
    <w:unhideWhenUsed/>
    <w:rsid w:val="00320DF2"/>
    <w:rPr>
      <w:sz w:val="16"/>
      <w:szCs w:val="16"/>
    </w:rPr>
  </w:style>
  <w:style w:type="paragraph" w:styleId="Textocomentario">
    <w:name w:val="annotation text"/>
    <w:basedOn w:val="Normal"/>
    <w:link w:val="TextocomentarioCar"/>
    <w:uiPriority w:val="99"/>
    <w:unhideWhenUsed/>
    <w:rsid w:val="00320DF2"/>
    <w:rPr>
      <w:sz w:val="20"/>
      <w:szCs w:val="20"/>
    </w:rPr>
  </w:style>
  <w:style w:type="character" w:customStyle="1" w:styleId="TextocomentarioCar">
    <w:name w:val="Texto comentario Car"/>
    <w:link w:val="Textocomentario"/>
    <w:uiPriority w:val="99"/>
    <w:rsid w:val="00320DF2"/>
    <w:rPr>
      <w:rFonts w:eastAsia="Times New Roman"/>
      <w:sz w:val="20"/>
      <w:szCs w:val="20"/>
      <w:lang w:val="es-ES_tradnl" w:eastAsia="es-ES"/>
    </w:rPr>
  </w:style>
  <w:style w:type="table" w:styleId="Tablaconcuadrcula">
    <w:name w:val="Table Grid"/>
    <w:basedOn w:val="Tablanormal"/>
    <w:uiPriority w:val="59"/>
    <w:rsid w:val="00421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219BD"/>
    <w:pPr>
      <w:spacing w:before="100" w:beforeAutospacing="1" w:after="100" w:afterAutospacing="1"/>
    </w:pPr>
    <w:rPr>
      <w:rFonts w:ascii="Times New Roman" w:eastAsiaTheme="minorEastAsia" w:hAnsi="Times New Roman"/>
      <w:lang w:val="es-CO" w:eastAsia="es-CO"/>
    </w:rPr>
  </w:style>
  <w:style w:type="paragraph" w:styleId="Textonotapie">
    <w:name w:val="footnote text"/>
    <w:basedOn w:val="Normal"/>
    <w:link w:val="TextonotapieCar"/>
    <w:uiPriority w:val="99"/>
    <w:semiHidden/>
    <w:unhideWhenUsed/>
    <w:rsid w:val="00063153"/>
    <w:rPr>
      <w:sz w:val="20"/>
      <w:szCs w:val="20"/>
    </w:rPr>
  </w:style>
  <w:style w:type="character" w:customStyle="1" w:styleId="TextonotapieCar">
    <w:name w:val="Texto nota pie Car"/>
    <w:basedOn w:val="Fuentedeprrafopredeter"/>
    <w:link w:val="Textonotapie"/>
    <w:uiPriority w:val="99"/>
    <w:semiHidden/>
    <w:rsid w:val="00063153"/>
    <w:rPr>
      <w:rFonts w:eastAsia="Times New Roman"/>
      <w:lang w:val="es-ES_tradnl" w:eastAsia="es-ES"/>
    </w:rPr>
  </w:style>
  <w:style w:type="character" w:styleId="Refdenotaalpie">
    <w:name w:val="footnote reference"/>
    <w:basedOn w:val="Fuentedeprrafopredeter"/>
    <w:uiPriority w:val="99"/>
    <w:semiHidden/>
    <w:unhideWhenUsed/>
    <w:rsid w:val="00063153"/>
    <w:rPr>
      <w:vertAlign w:val="superscript"/>
    </w:rPr>
  </w:style>
  <w:style w:type="character" w:styleId="Hipervnculo">
    <w:name w:val="Hyperlink"/>
    <w:basedOn w:val="Fuentedeprrafopredeter"/>
    <w:uiPriority w:val="99"/>
    <w:unhideWhenUsed/>
    <w:rsid w:val="00BD341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938216">
      <w:bodyDiv w:val="1"/>
      <w:marLeft w:val="0"/>
      <w:marRight w:val="0"/>
      <w:marTop w:val="0"/>
      <w:marBottom w:val="0"/>
      <w:divBdr>
        <w:top w:val="none" w:sz="0" w:space="0" w:color="auto"/>
        <w:left w:val="none" w:sz="0" w:space="0" w:color="auto"/>
        <w:bottom w:val="none" w:sz="0" w:space="0" w:color="auto"/>
        <w:right w:val="none" w:sz="0" w:space="0" w:color="auto"/>
      </w:divBdr>
    </w:div>
    <w:div w:id="1584754653">
      <w:bodyDiv w:val="1"/>
      <w:marLeft w:val="0"/>
      <w:marRight w:val="0"/>
      <w:marTop w:val="0"/>
      <w:marBottom w:val="0"/>
      <w:divBdr>
        <w:top w:val="none" w:sz="0" w:space="0" w:color="auto"/>
        <w:left w:val="none" w:sz="0" w:space="0" w:color="auto"/>
        <w:bottom w:val="none" w:sz="0" w:space="0" w:color="auto"/>
        <w:right w:val="none" w:sz="0" w:space="0" w:color="auto"/>
      </w:divBdr>
    </w:div>
    <w:div w:id="174752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bucaramanga.gov.co/obras-publicas/ciudad-de-los-parque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camelo\Documents\Plantillas%20personalizadas%20de%20Office\correspondencia%20nov.2016.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e9388c0-b1e2-40ea-b6a8-c51c7913cbd2">H7EN5MXTHQNV-662-1618</_dlc_DocId>
    <_dlc_DocIdUrl xmlns="ae9388c0-b1e2-40ea-b6a8-c51c7913cbd2">
      <Url>https://www.mincultura.gov.co/prensa/noticias/_layouts/15/DocIdRedir.aspx?ID=H7EN5MXTHQNV-662-1618</Url>
      <Description>H7EN5MXTHQNV-662-1618</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DA341872286834AB0D54B93028EBD96" ma:contentTypeVersion="2" ma:contentTypeDescription="Crear nuevo documento." ma:contentTypeScope="" ma:versionID="d4fe00a39c3e03e7f1f7f0463b2f1f12">
  <xsd:schema xmlns:xsd="http://www.w3.org/2001/XMLSchema" xmlns:xs="http://www.w3.org/2001/XMLSchema" xmlns:p="http://schemas.microsoft.com/office/2006/metadata/properties" xmlns:ns1="http://schemas.microsoft.com/sharepoint/v3" xmlns:ns2="ae9388c0-b1e2-40ea-b6a8-c51c7913cbd2" targetNamespace="http://schemas.microsoft.com/office/2006/metadata/properties" ma:root="true" ma:fieldsID="2d4c1eed58cd06e3b44bf82c75cab017" ns1:_="" ns2:_="">
    <xsd:import namespace="http://schemas.microsoft.com/sharepoint/v3"/>
    <xsd:import namespace="ae9388c0-b1e2-40ea-b6a8-c51c7913cbd2"/>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internalName="PublishingStartDate">
      <xsd:simpleType>
        <xsd:restriction base="dms:Unknown"/>
      </xsd:simpleType>
    </xsd:element>
    <xsd:element name="PublishingExpirationDate" ma:index="9" nillable="true" ma:displayName="Fecha de finalización programada"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e9388c0-b1e2-40ea-b6a8-c51c7913cbd2"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320630-0874-4DB0-BDED-93D12E3F1F79}">
  <ds:schemaRefs>
    <ds:schemaRef ds:uri="http://schemas.microsoft.com/sharepoint/v3/contenttype/forms"/>
  </ds:schemaRefs>
</ds:datastoreItem>
</file>

<file path=customXml/itemProps2.xml><?xml version="1.0" encoding="utf-8"?>
<ds:datastoreItem xmlns:ds="http://schemas.openxmlformats.org/officeDocument/2006/customXml" ds:itemID="{E4F41520-BCE9-4FA1-9FAB-9DB81D11335D}">
  <ds:schemaRefs>
    <ds:schemaRef ds:uri="http://schemas.microsoft.com/office/2006/metadata/properties"/>
    <ds:schemaRef ds:uri="http://schemas.microsoft.com/office/infopath/2007/PartnerControls"/>
    <ds:schemaRef ds:uri="http://schemas.microsoft.com/sharepoint/v3"/>
    <ds:schemaRef ds:uri="ae9388c0-b1e2-40ea-b6a8-c51c7913cbd2"/>
  </ds:schemaRefs>
</ds:datastoreItem>
</file>

<file path=customXml/itemProps3.xml><?xml version="1.0" encoding="utf-8"?>
<ds:datastoreItem xmlns:ds="http://schemas.openxmlformats.org/officeDocument/2006/customXml" ds:itemID="{A4CBDFFF-5A84-40D5-9CCE-70940B40EF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9388c0-b1e2-40ea-b6a8-c51c7913cb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812C09-D63A-4159-8D99-F63E570BE9FF}">
  <ds:schemaRefs>
    <ds:schemaRef ds:uri="http://schemas.microsoft.com/sharepoint/events"/>
  </ds:schemaRefs>
</ds:datastoreItem>
</file>

<file path=customXml/itemProps5.xml><?xml version="1.0" encoding="utf-8"?>
<ds:datastoreItem xmlns:ds="http://schemas.openxmlformats.org/officeDocument/2006/customXml" ds:itemID="{082A1DAB-2EE6-4159-91DF-40D12056C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correspondencia nov.2016</Template>
  <TotalTime>1609</TotalTime>
  <Pages>1</Pages>
  <Words>1243</Words>
  <Characters>6837</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8064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Marcela Camelo Pinilla</dc:creator>
  <cp:keywords/>
  <cp:lastModifiedBy>Cuenta Microsoft</cp:lastModifiedBy>
  <cp:revision>49</cp:revision>
  <cp:lastPrinted>2014-06-03T20:44:00Z</cp:lastPrinted>
  <dcterms:created xsi:type="dcterms:W3CDTF">2021-04-19T23:04:00Z</dcterms:created>
  <dcterms:modified xsi:type="dcterms:W3CDTF">2021-06-21T19:45:00Z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0x010100FDA341872286834AB0D54B93028EBD96</vt:lpwstr>
  </property>
  <property fmtid="{D5CDD505-2E9C-101B-9397-08002B2CF9AE}" pid="3" name="_dlc_DocIdItemGuid">
    <vt:lpwstr>e813767e-ccc2-4d1b-883c-84ff44e9d5fc</vt:lpwstr>
  </property>
</Properties>
</file>